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Default="0046491C" w:rsidP="00E34F08">
      <w:pPr>
        <w:spacing w:after="0" w:line="360" w:lineRule="auto"/>
        <w:jc w:val="both"/>
        <w:rPr>
          <w:rFonts w:ascii="Palatino Linotype" w:hAnsi="Palatino Linotype" w:cs="Arial"/>
          <w:b/>
          <w:sz w:val="24"/>
          <w:szCs w:val="24"/>
        </w:rPr>
      </w:pPr>
      <w:r w:rsidRPr="00072966">
        <w:rPr>
          <w:rFonts w:ascii="Palatino Linotype" w:hAnsi="Palatino Linotype" w:cs="Arial"/>
          <w:b/>
          <w:sz w:val="24"/>
          <w:szCs w:val="24"/>
        </w:rPr>
        <w:t>VOTO PARTICULAR DEL COMISIONADO JOSÉ GUADA</w:t>
      </w:r>
      <w:r w:rsidR="00D72985" w:rsidRPr="00072966">
        <w:rPr>
          <w:rFonts w:ascii="Palatino Linotype" w:hAnsi="Palatino Linotype" w:cs="Arial"/>
          <w:b/>
          <w:sz w:val="24"/>
          <w:szCs w:val="24"/>
        </w:rPr>
        <w:t>LUPE LUNA HERNÁNDEZ DEL RECURSO</w:t>
      </w:r>
      <w:r w:rsidR="00BF3534" w:rsidRPr="00072966">
        <w:rPr>
          <w:rFonts w:ascii="Palatino Linotype" w:hAnsi="Palatino Linotype" w:cs="Arial"/>
          <w:b/>
          <w:sz w:val="24"/>
          <w:szCs w:val="24"/>
        </w:rPr>
        <w:t xml:space="preserve"> DE REVISIÓN </w:t>
      </w:r>
      <w:r w:rsidR="00CF52FE">
        <w:rPr>
          <w:rFonts w:ascii="Palatino Linotype" w:hAnsi="Palatino Linotype" w:cs="Arial"/>
          <w:b/>
          <w:sz w:val="24"/>
          <w:szCs w:val="24"/>
        </w:rPr>
        <w:t>04180</w:t>
      </w:r>
      <w:r w:rsidR="00C7250F" w:rsidRPr="00072966">
        <w:rPr>
          <w:rFonts w:ascii="Palatino Linotype" w:hAnsi="Palatino Linotype" w:cs="Arial"/>
          <w:b/>
          <w:sz w:val="24"/>
          <w:szCs w:val="24"/>
        </w:rPr>
        <w:t>/INFOEM/IP/RR/2018</w:t>
      </w:r>
      <w:r w:rsidR="0000525F" w:rsidRPr="00072966">
        <w:rPr>
          <w:rFonts w:ascii="Palatino Linotype" w:hAnsi="Palatino Linotype" w:cs="Arial"/>
          <w:b/>
          <w:sz w:val="24"/>
          <w:szCs w:val="24"/>
        </w:rPr>
        <w:t>.</w:t>
      </w:r>
    </w:p>
    <w:p w:rsidR="0082452E" w:rsidRPr="00072966" w:rsidRDefault="0082452E" w:rsidP="00E34F08">
      <w:pPr>
        <w:spacing w:after="0" w:line="360" w:lineRule="auto"/>
        <w:jc w:val="both"/>
        <w:rPr>
          <w:rFonts w:ascii="Palatino Linotype" w:hAnsi="Palatino Linotype" w:cs="Arial"/>
          <w:sz w:val="24"/>
          <w:szCs w:val="24"/>
        </w:rPr>
      </w:pPr>
    </w:p>
    <w:p w:rsidR="0046491C" w:rsidRPr="009A5396" w:rsidRDefault="0046491C" w:rsidP="00E34F08">
      <w:pPr>
        <w:spacing w:after="0" w:line="360" w:lineRule="auto"/>
        <w:jc w:val="both"/>
        <w:rPr>
          <w:rFonts w:ascii="Palatino Linotype" w:hAnsi="Palatino Linotype" w:cs="Arial"/>
          <w:b/>
          <w:sz w:val="24"/>
          <w:szCs w:val="24"/>
        </w:rPr>
      </w:pPr>
      <w:r w:rsidRPr="009A5396">
        <w:rPr>
          <w:rFonts w:ascii="Palatino Linotype" w:hAnsi="Palatino Linotype" w:cs="Arial"/>
          <w:b/>
          <w:sz w:val="24"/>
          <w:szCs w:val="24"/>
        </w:rPr>
        <w:t>Líneas argumentativas:</w:t>
      </w:r>
    </w:p>
    <w:p w:rsidR="00902248" w:rsidRPr="009A5396" w:rsidRDefault="00902248" w:rsidP="00E34F08">
      <w:pPr>
        <w:spacing w:after="0" w:line="240" w:lineRule="auto"/>
        <w:jc w:val="both"/>
        <w:rPr>
          <w:rFonts w:ascii="Palatino Linotype" w:hAnsi="Palatino Linotype" w:cs="Arial"/>
          <w:szCs w:val="24"/>
        </w:rPr>
      </w:pPr>
    </w:p>
    <w:p w:rsidR="0046491C" w:rsidRPr="009A5396" w:rsidRDefault="0046491C" w:rsidP="00E34F08">
      <w:pPr>
        <w:spacing w:after="0" w:line="360" w:lineRule="auto"/>
        <w:jc w:val="both"/>
        <w:rPr>
          <w:rFonts w:ascii="Palatino Linotype" w:hAnsi="Palatino Linotype" w:cs="Arial"/>
          <w:szCs w:val="24"/>
        </w:rPr>
      </w:pPr>
      <w:r w:rsidRPr="009A5396">
        <w:rPr>
          <w:rFonts w:ascii="Palatino Linotype" w:hAnsi="Palatino Linotype" w:cs="Arial"/>
          <w:szCs w:val="24"/>
        </w:rPr>
        <w:t>La falta de impugnación respecto al resto de los requerimientos que no fueron manifestados en el recurso de revisión, no debe entenderse como actos consentidos.</w:t>
      </w:r>
    </w:p>
    <w:p w:rsidR="00902248" w:rsidRPr="009A5396" w:rsidRDefault="00902248" w:rsidP="00E34F08">
      <w:pPr>
        <w:spacing w:after="0" w:line="240" w:lineRule="auto"/>
        <w:jc w:val="both"/>
        <w:rPr>
          <w:rFonts w:ascii="Palatino Linotype" w:hAnsi="Palatino Linotype" w:cs="Arial"/>
          <w:szCs w:val="24"/>
        </w:rPr>
      </w:pPr>
    </w:p>
    <w:p w:rsidR="0046491C" w:rsidRPr="009A5396" w:rsidRDefault="0046491C" w:rsidP="00E34F08">
      <w:pPr>
        <w:spacing w:after="0" w:line="360" w:lineRule="auto"/>
        <w:jc w:val="both"/>
        <w:rPr>
          <w:rFonts w:ascii="Palatino Linotype" w:hAnsi="Palatino Linotype" w:cs="Arial"/>
          <w:szCs w:val="24"/>
        </w:rPr>
      </w:pPr>
      <w:r w:rsidRPr="009A5396">
        <w:rPr>
          <w:rFonts w:ascii="Palatino Linotype" w:hAnsi="Palatino Linotype" w:cs="Arial"/>
          <w:szCs w:val="24"/>
        </w:rPr>
        <w:t>La figura de actos consentidos no debe ser invocada en el derecho humano fundamental de acceder a la información pública gubernamental.</w:t>
      </w:r>
    </w:p>
    <w:p w:rsidR="0001046D" w:rsidRPr="009A5396" w:rsidRDefault="0001046D" w:rsidP="00E34F08">
      <w:pPr>
        <w:spacing w:after="0" w:line="240" w:lineRule="auto"/>
        <w:jc w:val="both"/>
        <w:rPr>
          <w:rFonts w:ascii="Palatino Linotype" w:hAnsi="Palatino Linotype" w:cs="Arial"/>
          <w:szCs w:val="24"/>
        </w:rPr>
      </w:pPr>
    </w:p>
    <w:p w:rsidR="0046491C" w:rsidRPr="009A5396" w:rsidRDefault="0046491C" w:rsidP="00E34F08">
      <w:pPr>
        <w:spacing w:after="0" w:line="360" w:lineRule="auto"/>
        <w:jc w:val="both"/>
        <w:rPr>
          <w:rFonts w:ascii="Palatino Linotype" w:hAnsi="Palatino Linotype" w:cs="Arial"/>
          <w:szCs w:val="24"/>
        </w:rPr>
      </w:pPr>
      <w:r w:rsidRPr="009A5396">
        <w:rPr>
          <w:rFonts w:ascii="Palatino Linotype" w:hAnsi="Palatino Linotype" w:cs="Arial"/>
          <w:szCs w:val="24"/>
        </w:rPr>
        <w:t>El Órgano Garante del derecho de acceso a la información pública no debe imponerles las cargas formales del proceso jurisdiccional a los particulares.</w:t>
      </w:r>
    </w:p>
    <w:p w:rsidR="0046491C" w:rsidRPr="009A5396" w:rsidRDefault="0046491C" w:rsidP="00E34F08">
      <w:pPr>
        <w:spacing w:after="0" w:line="240" w:lineRule="auto"/>
        <w:jc w:val="both"/>
        <w:rPr>
          <w:rFonts w:ascii="Palatino Linotype" w:hAnsi="Palatino Linotype" w:cs="Arial"/>
          <w:szCs w:val="24"/>
        </w:rPr>
      </w:pPr>
    </w:p>
    <w:p w:rsidR="0046491C" w:rsidRPr="009A5396" w:rsidRDefault="0046491C" w:rsidP="00E34F08">
      <w:pPr>
        <w:spacing w:after="0" w:line="360" w:lineRule="auto"/>
        <w:jc w:val="both"/>
        <w:rPr>
          <w:rFonts w:ascii="Palatino Linotype" w:hAnsi="Palatino Linotype" w:cs="Arial"/>
          <w:szCs w:val="24"/>
        </w:rPr>
      </w:pPr>
      <w:r w:rsidRPr="009A5396">
        <w:rPr>
          <w:rFonts w:ascii="Palatino Linotype" w:hAnsi="Palatino Linotype" w:cs="Arial"/>
          <w:szCs w:val="24"/>
        </w:rPr>
        <w:t>Lo que este Órgano Garante realice en materia de suplencia de la queja no afecta la igualdad de las partes sino procura el cumplimiento de los deberes de protección del derecho humano.</w:t>
      </w:r>
    </w:p>
    <w:p w:rsidR="0046491C" w:rsidRPr="009A5396" w:rsidRDefault="0046491C" w:rsidP="00E34F08">
      <w:pPr>
        <w:spacing w:after="0" w:line="240" w:lineRule="auto"/>
        <w:jc w:val="both"/>
        <w:rPr>
          <w:rFonts w:ascii="Palatino Linotype" w:hAnsi="Palatino Linotype" w:cs="Arial"/>
          <w:szCs w:val="24"/>
        </w:rPr>
      </w:pPr>
    </w:p>
    <w:p w:rsidR="0046491C" w:rsidRPr="009A5396" w:rsidRDefault="0046491C" w:rsidP="00E34F08">
      <w:pPr>
        <w:spacing w:after="0" w:line="360" w:lineRule="auto"/>
        <w:jc w:val="both"/>
        <w:rPr>
          <w:rFonts w:ascii="Palatino Linotype" w:hAnsi="Palatino Linotype" w:cs="Arial"/>
          <w:szCs w:val="24"/>
        </w:rPr>
      </w:pPr>
      <w:r w:rsidRPr="009A5396">
        <w:rPr>
          <w:rFonts w:ascii="Palatino Linotype" w:hAnsi="Palatino Linotype" w:cs="Arial"/>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82452E" w:rsidRPr="009A5396" w:rsidRDefault="0082452E" w:rsidP="00E34F08">
      <w:pPr>
        <w:spacing w:after="0" w:line="360" w:lineRule="auto"/>
        <w:jc w:val="both"/>
        <w:rPr>
          <w:rFonts w:ascii="Palatino Linotype" w:hAnsi="Palatino Linotype" w:cs="Arial"/>
          <w:szCs w:val="24"/>
        </w:rPr>
      </w:pPr>
    </w:p>
    <w:p w:rsidR="0046491C" w:rsidRPr="009A5396" w:rsidRDefault="0046491C" w:rsidP="00E34F08">
      <w:pPr>
        <w:spacing w:after="0" w:line="360" w:lineRule="auto"/>
        <w:jc w:val="both"/>
        <w:rPr>
          <w:rFonts w:ascii="Palatino Linotype" w:hAnsi="Palatino Linotype" w:cs="Arial"/>
          <w:szCs w:val="24"/>
        </w:rPr>
      </w:pPr>
      <w:r w:rsidRPr="009A5396">
        <w:rPr>
          <w:rFonts w:ascii="Palatino Linotype" w:hAnsi="Palatino Linotype" w:cs="Arial"/>
          <w:szCs w:val="24"/>
        </w:rPr>
        <w:t>Los órganos del Estado, tienen el deber que tienen dentro del margen de sus atribuciones, de prevenir violaciones a los derechos fundamentales.</w:t>
      </w:r>
    </w:p>
    <w:p w:rsidR="00702BD9" w:rsidRDefault="00702BD9" w:rsidP="00E34F08">
      <w:pPr>
        <w:spacing w:after="0" w:line="360" w:lineRule="auto"/>
        <w:jc w:val="both"/>
        <w:rPr>
          <w:rFonts w:ascii="Palatino Linotype" w:hAnsi="Palatino Linotype" w:cs="Arial"/>
          <w:sz w:val="24"/>
          <w:szCs w:val="24"/>
        </w:rPr>
      </w:pPr>
    </w:p>
    <w:p w:rsidR="009A5396" w:rsidRDefault="009A5396" w:rsidP="00E34F08">
      <w:pPr>
        <w:spacing w:after="0" w:line="360" w:lineRule="auto"/>
        <w:jc w:val="both"/>
        <w:rPr>
          <w:rFonts w:ascii="Palatino Linotype" w:hAnsi="Palatino Linotype" w:cs="Arial"/>
          <w:sz w:val="24"/>
          <w:szCs w:val="24"/>
        </w:rPr>
      </w:pPr>
    </w:p>
    <w:p w:rsidR="000A4B02" w:rsidRDefault="000A4B02" w:rsidP="00E34F08">
      <w:pPr>
        <w:spacing w:after="0" w:line="360" w:lineRule="auto"/>
        <w:jc w:val="both"/>
        <w:rPr>
          <w:rFonts w:ascii="Palatino Linotype" w:hAnsi="Palatino Linotype" w:cs="Arial"/>
          <w:sz w:val="24"/>
          <w:szCs w:val="24"/>
        </w:rPr>
      </w:pPr>
    </w:p>
    <w:p w:rsidR="000A4B02" w:rsidRDefault="000A4B02" w:rsidP="00E34F08">
      <w:pPr>
        <w:spacing w:after="0" w:line="360" w:lineRule="auto"/>
        <w:jc w:val="both"/>
        <w:rPr>
          <w:rFonts w:ascii="Palatino Linotype" w:hAnsi="Palatino Linotype" w:cs="Arial"/>
          <w:sz w:val="24"/>
          <w:szCs w:val="24"/>
        </w:rPr>
      </w:pPr>
    </w:p>
    <w:p w:rsidR="000A4B02" w:rsidRDefault="000A4B02" w:rsidP="00E34F08">
      <w:pPr>
        <w:spacing w:after="0" w:line="360" w:lineRule="auto"/>
        <w:jc w:val="both"/>
        <w:rPr>
          <w:rFonts w:ascii="Palatino Linotype" w:hAnsi="Palatino Linotype" w:cs="Arial"/>
          <w:sz w:val="24"/>
          <w:szCs w:val="24"/>
        </w:rPr>
      </w:pPr>
    </w:p>
    <w:p w:rsidR="0046491C" w:rsidRPr="00DD7431" w:rsidRDefault="0046491C" w:rsidP="00E34F08">
      <w:pPr>
        <w:spacing w:after="0" w:line="360" w:lineRule="auto"/>
        <w:jc w:val="both"/>
        <w:rPr>
          <w:rFonts w:ascii="Palatino Linotype" w:hAnsi="Palatino Linotype" w:cs="Arial"/>
          <w:sz w:val="28"/>
          <w:szCs w:val="24"/>
        </w:rPr>
      </w:pPr>
      <w:r w:rsidRPr="00DD7431">
        <w:rPr>
          <w:rFonts w:ascii="Palatino Linotype" w:hAnsi="Palatino Linotype" w:cs="Arial"/>
          <w:b/>
          <w:sz w:val="28"/>
          <w:szCs w:val="24"/>
        </w:rPr>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72966" w:rsidRDefault="0046491C" w:rsidP="00E34F08">
          <w:pPr>
            <w:pStyle w:val="TtulodeTDC"/>
            <w:spacing w:line="360" w:lineRule="auto"/>
            <w:rPr>
              <w:rFonts w:ascii="Palatino Linotype" w:hAnsi="Palatino Linotype"/>
            </w:rPr>
          </w:pPr>
        </w:p>
        <w:p w:rsidR="00166140" w:rsidRDefault="0046491C" w:rsidP="00166140">
          <w:pPr>
            <w:pStyle w:val="TDC1"/>
            <w:rPr>
              <w:rFonts w:eastAsiaTheme="minorEastAsia"/>
              <w:noProof/>
              <w:lang w:eastAsia="es-MX"/>
            </w:rPr>
          </w:pPr>
          <w:r w:rsidRPr="00072966">
            <w:rPr>
              <w:rFonts w:ascii="Palatino Linotype" w:hAnsi="Palatino Linotype"/>
            </w:rPr>
            <w:fldChar w:fldCharType="begin"/>
          </w:r>
          <w:r w:rsidRPr="00072966">
            <w:rPr>
              <w:rFonts w:ascii="Palatino Linotype" w:hAnsi="Palatino Linotype"/>
            </w:rPr>
            <w:instrText xml:space="preserve"> TOC \o "1-3" \h \z \u </w:instrText>
          </w:r>
          <w:r w:rsidRPr="00072966">
            <w:rPr>
              <w:rFonts w:ascii="Palatino Linotype" w:hAnsi="Palatino Linotype"/>
            </w:rPr>
            <w:fldChar w:fldCharType="separate"/>
          </w:r>
          <w:hyperlink w:anchor="_Toc534985162" w:history="1">
            <w:r w:rsidR="00166140" w:rsidRPr="00421F45">
              <w:rPr>
                <w:rStyle w:val="Hipervnculo"/>
                <w:rFonts w:ascii="Palatino Linotype" w:hAnsi="Palatino Linotype"/>
                <w:b/>
                <w:noProof/>
              </w:rPr>
              <w:t>I.</w:t>
            </w:r>
            <w:r w:rsidR="00166140">
              <w:rPr>
                <w:rFonts w:eastAsiaTheme="minorEastAsia"/>
                <w:noProof/>
                <w:lang w:eastAsia="es-MX"/>
              </w:rPr>
              <w:tab/>
            </w:r>
            <w:r w:rsidR="00166140" w:rsidRPr="00421F45">
              <w:rPr>
                <w:rStyle w:val="Hipervnculo"/>
                <w:rFonts w:ascii="Palatino Linotype" w:hAnsi="Palatino Linotype"/>
                <w:b/>
                <w:noProof/>
              </w:rPr>
              <w:t>Consideraciones Generales.</w:t>
            </w:r>
            <w:r w:rsidR="00166140">
              <w:rPr>
                <w:noProof/>
                <w:webHidden/>
              </w:rPr>
              <w:tab/>
            </w:r>
            <w:r w:rsidR="00166140">
              <w:rPr>
                <w:noProof/>
                <w:webHidden/>
              </w:rPr>
              <w:fldChar w:fldCharType="begin"/>
            </w:r>
            <w:r w:rsidR="00166140">
              <w:rPr>
                <w:noProof/>
                <w:webHidden/>
              </w:rPr>
              <w:instrText xml:space="preserve"> PAGEREF _Toc534985162 \h </w:instrText>
            </w:r>
            <w:r w:rsidR="00166140">
              <w:rPr>
                <w:noProof/>
                <w:webHidden/>
              </w:rPr>
            </w:r>
            <w:r w:rsidR="00166140">
              <w:rPr>
                <w:noProof/>
                <w:webHidden/>
              </w:rPr>
              <w:fldChar w:fldCharType="separate"/>
            </w:r>
            <w:r w:rsidR="00166140">
              <w:rPr>
                <w:noProof/>
                <w:webHidden/>
              </w:rPr>
              <w:t>3</w:t>
            </w:r>
            <w:r w:rsidR="00166140">
              <w:rPr>
                <w:noProof/>
                <w:webHidden/>
              </w:rPr>
              <w:fldChar w:fldCharType="end"/>
            </w:r>
          </w:hyperlink>
        </w:p>
        <w:p w:rsidR="00166140" w:rsidRDefault="00166140" w:rsidP="00166140">
          <w:pPr>
            <w:pStyle w:val="TDC1"/>
            <w:rPr>
              <w:rFonts w:eastAsiaTheme="minorEastAsia"/>
              <w:noProof/>
              <w:lang w:eastAsia="es-MX"/>
            </w:rPr>
          </w:pPr>
          <w:hyperlink w:anchor="_Toc534985163" w:history="1">
            <w:r w:rsidRPr="00421F45">
              <w:rPr>
                <w:rStyle w:val="Hipervnculo"/>
                <w:rFonts w:ascii="Palatino Linotype" w:hAnsi="Palatino Linotype"/>
                <w:b/>
                <w:noProof/>
              </w:rPr>
              <w:t>II.</w:t>
            </w:r>
            <w:r>
              <w:rPr>
                <w:rFonts w:eastAsiaTheme="minorEastAsia"/>
                <w:noProof/>
                <w:lang w:eastAsia="es-MX"/>
              </w:rPr>
              <w:tab/>
            </w:r>
            <w:r w:rsidRPr="00421F45">
              <w:rPr>
                <w:rStyle w:val="Hipervnculo"/>
                <w:rFonts w:ascii="Palatino Linotype" w:hAnsi="Palatino Linotype"/>
                <w:b/>
                <w:noProof/>
              </w:rPr>
              <w:t>De los requerimientos planteados en el recurso de revisión.</w:t>
            </w:r>
            <w:r>
              <w:rPr>
                <w:noProof/>
                <w:webHidden/>
              </w:rPr>
              <w:tab/>
            </w:r>
            <w:r>
              <w:rPr>
                <w:noProof/>
                <w:webHidden/>
              </w:rPr>
              <w:fldChar w:fldCharType="begin"/>
            </w:r>
            <w:r>
              <w:rPr>
                <w:noProof/>
                <w:webHidden/>
              </w:rPr>
              <w:instrText xml:space="preserve"> PAGEREF _Toc534985163 \h </w:instrText>
            </w:r>
            <w:r>
              <w:rPr>
                <w:noProof/>
                <w:webHidden/>
              </w:rPr>
            </w:r>
            <w:r>
              <w:rPr>
                <w:noProof/>
                <w:webHidden/>
              </w:rPr>
              <w:fldChar w:fldCharType="separate"/>
            </w:r>
            <w:r>
              <w:rPr>
                <w:noProof/>
                <w:webHidden/>
              </w:rPr>
              <w:t>3</w:t>
            </w:r>
            <w:r>
              <w:rPr>
                <w:noProof/>
                <w:webHidden/>
              </w:rPr>
              <w:fldChar w:fldCharType="end"/>
            </w:r>
          </w:hyperlink>
        </w:p>
        <w:p w:rsidR="00166140" w:rsidRDefault="00166140" w:rsidP="00166140">
          <w:pPr>
            <w:pStyle w:val="TDC1"/>
            <w:rPr>
              <w:rFonts w:eastAsiaTheme="minorEastAsia"/>
              <w:noProof/>
              <w:lang w:eastAsia="es-MX"/>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4B5556B9" wp14:editId="23ECD744">
                    <wp:simplePos x="0" y="0"/>
                    <wp:positionH relativeFrom="column">
                      <wp:posOffset>0</wp:posOffset>
                    </wp:positionH>
                    <wp:positionV relativeFrom="paragraph">
                      <wp:posOffset>603147</wp:posOffset>
                    </wp:positionV>
                    <wp:extent cx="5597610" cy="3991232"/>
                    <wp:effectExtent l="19050" t="19050" r="22225" b="28575"/>
                    <wp:wrapNone/>
                    <wp:docPr id="6" name="Conector recto 6"/>
                    <wp:cNvGraphicFramePr/>
                    <a:graphic xmlns:a="http://schemas.openxmlformats.org/drawingml/2006/main">
                      <a:graphicData uri="http://schemas.microsoft.com/office/word/2010/wordprocessingShape">
                        <wps:wsp>
                          <wps:cNvCnPr/>
                          <wps:spPr>
                            <a:xfrm>
                              <a:off x="0" y="0"/>
                              <a:ext cx="5597610" cy="3991232"/>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9A558B"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7.5pt" to="440.75pt,3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" strokecolor="#5b9bd5 [3204]" strokeweight="2.25pt">
                    <v:stroke joinstyle="miter"/>
                  </v:line>
                </w:pict>
              </mc:Fallback>
            </mc:AlternateContent>
          </w:r>
          <w:hyperlink w:anchor="_Toc534985164" w:history="1">
            <w:r w:rsidRPr="00421F45">
              <w:rPr>
                <w:rStyle w:val="Hipervnculo"/>
                <w:rFonts w:ascii="Palatino Linotype" w:hAnsi="Palatino Linotype"/>
                <w:b/>
                <w:noProof/>
              </w:rPr>
              <w:t>III.</w:t>
            </w:r>
            <w:r>
              <w:rPr>
                <w:rFonts w:eastAsiaTheme="minorEastAsia"/>
                <w:noProof/>
                <w:lang w:eastAsia="es-MX"/>
              </w:rPr>
              <w:tab/>
            </w:r>
            <w:r w:rsidRPr="00421F45">
              <w:rPr>
                <w:rStyle w:val="Hipervnculo"/>
                <w:rFonts w:ascii="Palatino Linotype" w:hAnsi="Palatino Linotype"/>
                <w:b/>
                <w:noProof/>
              </w:rPr>
              <w:t>Los actos consentidos no deben invocarse en el derecho fundamental de acceder a la información pública gubernamental.</w:t>
            </w:r>
            <w:r>
              <w:rPr>
                <w:noProof/>
                <w:webHidden/>
              </w:rPr>
              <w:tab/>
            </w:r>
            <w:r>
              <w:rPr>
                <w:noProof/>
                <w:webHidden/>
              </w:rPr>
              <w:fldChar w:fldCharType="begin"/>
            </w:r>
            <w:r>
              <w:rPr>
                <w:noProof/>
                <w:webHidden/>
              </w:rPr>
              <w:instrText xml:space="preserve"> PAGEREF _Toc534985164 \h </w:instrText>
            </w:r>
            <w:r>
              <w:rPr>
                <w:noProof/>
                <w:webHidden/>
              </w:rPr>
            </w:r>
            <w:r>
              <w:rPr>
                <w:noProof/>
                <w:webHidden/>
              </w:rPr>
              <w:fldChar w:fldCharType="separate"/>
            </w:r>
            <w:r>
              <w:rPr>
                <w:noProof/>
                <w:webHidden/>
              </w:rPr>
              <w:t>7</w:t>
            </w:r>
            <w:r>
              <w:rPr>
                <w:noProof/>
                <w:webHidden/>
              </w:rPr>
              <w:fldChar w:fldCharType="end"/>
            </w:r>
          </w:hyperlink>
        </w:p>
        <w:p w:rsidR="00072966" w:rsidRPr="000A4B02" w:rsidRDefault="0046491C" w:rsidP="000A4B02">
          <w:pPr>
            <w:spacing w:line="360" w:lineRule="auto"/>
            <w:rPr>
              <w:rFonts w:ascii="Palatino Linotype" w:hAnsi="Palatino Linotype"/>
            </w:rPr>
          </w:pPr>
          <w:r w:rsidRPr="00072966">
            <w:rPr>
              <w:rFonts w:ascii="Palatino Linotype" w:hAnsi="Palatino Linotype"/>
              <w:b/>
              <w:bCs/>
              <w:lang w:val="es-ES"/>
            </w:rPr>
            <w:fldChar w:fldCharType="end"/>
          </w:r>
        </w:p>
      </w:sdtContent>
    </w:sdt>
    <w:p w:rsidR="00702BD9" w:rsidRDefault="00702BD9" w:rsidP="00702BD9"/>
    <w:p w:rsidR="000A4B02" w:rsidRDefault="000A4B02" w:rsidP="00702BD9"/>
    <w:p w:rsidR="000A4B02" w:rsidRDefault="000A4B02" w:rsidP="00702BD9"/>
    <w:p w:rsidR="000A4B02" w:rsidRDefault="000A4B02" w:rsidP="00702BD9"/>
    <w:p w:rsidR="000A4B02" w:rsidRDefault="000A4B02" w:rsidP="00702BD9"/>
    <w:p w:rsidR="000A4B02" w:rsidRDefault="000A4B02" w:rsidP="00702BD9"/>
    <w:p w:rsidR="000A4B02" w:rsidRDefault="000A4B02" w:rsidP="00702BD9"/>
    <w:p w:rsidR="000A4B02" w:rsidRDefault="000A4B02" w:rsidP="00702BD9"/>
    <w:p w:rsidR="000A4B02" w:rsidRDefault="000A4B02" w:rsidP="00702BD9"/>
    <w:p w:rsidR="0046491C" w:rsidRPr="00072966" w:rsidRDefault="0046491C" w:rsidP="00E34F08">
      <w:pPr>
        <w:pStyle w:val="Ttulo1"/>
        <w:numPr>
          <w:ilvl w:val="0"/>
          <w:numId w:val="12"/>
        </w:numPr>
        <w:spacing w:line="360" w:lineRule="auto"/>
        <w:rPr>
          <w:rFonts w:ascii="Palatino Linotype" w:hAnsi="Palatino Linotype"/>
          <w:b/>
          <w:color w:val="auto"/>
          <w:sz w:val="24"/>
          <w:szCs w:val="24"/>
        </w:rPr>
      </w:pPr>
      <w:bookmarkStart w:id="0" w:name="_Toc534985162"/>
      <w:r w:rsidRPr="00072966">
        <w:rPr>
          <w:rFonts w:ascii="Palatino Linotype" w:hAnsi="Palatino Linotype"/>
          <w:b/>
          <w:color w:val="auto"/>
          <w:sz w:val="24"/>
          <w:szCs w:val="24"/>
        </w:rPr>
        <w:lastRenderedPageBreak/>
        <w:t>Consideraciones Generales.</w:t>
      </w:r>
      <w:bookmarkEnd w:id="0"/>
    </w:p>
    <w:p w:rsidR="0046491C" w:rsidRPr="000A4B02" w:rsidRDefault="0046491C" w:rsidP="000A4B02">
      <w:pPr>
        <w:pStyle w:val="Prrafodelista"/>
        <w:spacing w:after="0" w:line="240" w:lineRule="auto"/>
        <w:ind w:left="1080"/>
        <w:jc w:val="both"/>
        <w:rPr>
          <w:rFonts w:ascii="Palatino Linotype" w:hAnsi="Palatino Linotype" w:cs="Arial"/>
          <w:b/>
          <w:sz w:val="18"/>
          <w:szCs w:val="24"/>
        </w:rPr>
      </w:pPr>
    </w:p>
    <w:p w:rsidR="009A5396" w:rsidRPr="000A4B02" w:rsidRDefault="0046491C" w:rsidP="00DD7431">
      <w:pPr>
        <w:pStyle w:val="Prrafodelista"/>
        <w:numPr>
          <w:ilvl w:val="0"/>
          <w:numId w:val="1"/>
        </w:numPr>
        <w:spacing w:after="0" w:line="360" w:lineRule="auto"/>
        <w:ind w:left="0" w:right="-93" w:firstLine="0"/>
        <w:jc w:val="both"/>
        <w:rPr>
          <w:rFonts w:ascii="Palatino Linotype" w:hAnsi="Palatino Linotype" w:cs="Arial"/>
          <w:sz w:val="24"/>
          <w:szCs w:val="24"/>
        </w:rPr>
      </w:pPr>
      <w:r w:rsidRPr="00072966">
        <w:rPr>
          <w:rFonts w:ascii="Palatino Linotype" w:eastAsia="Times New Roman" w:hAnsi="Palatino Linotype" w:cs="Arial"/>
          <w:sz w:val="24"/>
          <w:szCs w:val="24"/>
          <w:lang w:val="es-ES_tradnl"/>
        </w:rPr>
        <w:t xml:space="preserve">He </w:t>
      </w:r>
      <w:r w:rsidRPr="000A4B02">
        <w:rPr>
          <w:rFonts w:ascii="Palatino Linotype" w:eastAsia="Arial Unicode MS" w:hAnsi="Palatino Linotype" w:cs="Arial"/>
          <w:sz w:val="24"/>
          <w:szCs w:val="24"/>
          <w:bdr w:val="nil"/>
          <w:lang w:val="es-ES_tradnl"/>
        </w:rPr>
        <w:t>concurrido</w:t>
      </w:r>
      <w:r w:rsidRPr="00072966">
        <w:rPr>
          <w:rFonts w:ascii="Palatino Linotype" w:eastAsia="Times New Roman" w:hAnsi="Palatino Linotype" w:cs="Arial"/>
          <w:sz w:val="24"/>
          <w:szCs w:val="24"/>
          <w:lang w:val="es-ES_tradnl"/>
        </w:rPr>
        <w:t xml:space="preserve"> </w:t>
      </w:r>
      <w:r w:rsidRPr="00DD7431">
        <w:rPr>
          <w:rFonts w:ascii="Palatino Linotype" w:eastAsia="Arial Unicode MS" w:hAnsi="Palatino Linotype" w:cs="Arial"/>
          <w:sz w:val="24"/>
          <w:szCs w:val="24"/>
          <w:bdr w:val="nil"/>
          <w:lang w:val="es-ES_tradnl"/>
        </w:rPr>
        <w:t>con</w:t>
      </w:r>
      <w:r w:rsidRPr="00072966">
        <w:rPr>
          <w:rFonts w:ascii="Palatino Linotype" w:eastAsia="Times New Roman" w:hAnsi="Palatino Linotype" w:cs="Arial"/>
          <w:sz w:val="24"/>
          <w:szCs w:val="24"/>
          <w:lang w:val="es-ES_tradnl"/>
        </w:rPr>
        <w:t xml:space="preserve"> mi </w:t>
      </w:r>
      <w:r w:rsidR="00D33AF9" w:rsidRPr="00072966">
        <w:rPr>
          <w:rFonts w:ascii="Palatino Linotype" w:eastAsia="Times New Roman" w:hAnsi="Palatino Linotype" w:cs="Arial"/>
          <w:sz w:val="24"/>
          <w:szCs w:val="24"/>
          <w:lang w:val="es-ES_tradnl"/>
        </w:rPr>
        <w:t>voto</w:t>
      </w:r>
      <w:r w:rsidRPr="00072966">
        <w:rPr>
          <w:rFonts w:ascii="Palatino Linotype" w:eastAsia="Times New Roman" w:hAnsi="Palatino Linotype" w:cs="Arial"/>
          <w:sz w:val="24"/>
          <w:szCs w:val="24"/>
          <w:lang w:val="es-ES_tradnl"/>
        </w:rPr>
        <w:t xml:space="preserve"> particular de la presente resolución emitida </w:t>
      </w:r>
      <w:r w:rsidRPr="00072966">
        <w:rPr>
          <w:rFonts w:ascii="Palatino Linotype" w:hAnsi="Palatino Linotype" w:cs="Arial"/>
          <w:sz w:val="24"/>
          <w:szCs w:val="24"/>
        </w:rPr>
        <w:t>por el Pleno del Instituto de Transparencia, Acceso a la Información Pública y Protección de Datos Personales del Estado de Méxi</w:t>
      </w:r>
      <w:r w:rsidR="002C1F75" w:rsidRPr="00072966">
        <w:rPr>
          <w:rFonts w:ascii="Palatino Linotype" w:hAnsi="Palatino Linotype" w:cs="Arial"/>
          <w:sz w:val="24"/>
          <w:szCs w:val="24"/>
        </w:rPr>
        <w:t>co y Municipios, en su</w:t>
      </w:r>
      <w:r w:rsidR="000D1743">
        <w:rPr>
          <w:rFonts w:ascii="Palatino Linotype" w:hAnsi="Palatino Linotype" w:cs="Arial"/>
          <w:sz w:val="24"/>
          <w:szCs w:val="24"/>
        </w:rPr>
        <w:t xml:space="preserve"> </w:t>
      </w:r>
      <w:r w:rsidR="00347624">
        <w:rPr>
          <w:rFonts w:ascii="Palatino Linotype" w:hAnsi="Palatino Linotype" w:cs="Arial"/>
          <w:sz w:val="24"/>
          <w:szCs w:val="24"/>
        </w:rPr>
        <w:t>Primera</w:t>
      </w:r>
      <w:r w:rsidR="00817341">
        <w:rPr>
          <w:rFonts w:ascii="Palatino Linotype" w:hAnsi="Palatino Linotype" w:cs="Arial"/>
          <w:sz w:val="24"/>
          <w:szCs w:val="24"/>
        </w:rPr>
        <w:t xml:space="preserve"> </w:t>
      </w:r>
      <w:r w:rsidRPr="00072966">
        <w:rPr>
          <w:rFonts w:ascii="Palatino Linotype" w:hAnsi="Palatino Linotype" w:cs="Arial"/>
          <w:sz w:val="24"/>
          <w:szCs w:val="24"/>
        </w:rPr>
        <w:t xml:space="preserve">sesión ordinaria </w:t>
      </w:r>
      <w:r w:rsidR="00C7250F" w:rsidRPr="00072966">
        <w:rPr>
          <w:rFonts w:ascii="Palatino Linotype" w:hAnsi="Palatino Linotype" w:cs="Arial"/>
          <w:sz w:val="24"/>
          <w:szCs w:val="24"/>
        </w:rPr>
        <w:t xml:space="preserve">de fecha </w:t>
      </w:r>
      <w:r w:rsidR="00347624">
        <w:rPr>
          <w:rFonts w:ascii="Palatino Linotype" w:hAnsi="Palatino Linotype" w:cs="Arial"/>
          <w:sz w:val="24"/>
          <w:szCs w:val="24"/>
        </w:rPr>
        <w:t>nueve</w:t>
      </w:r>
      <w:r w:rsidRPr="00072966">
        <w:rPr>
          <w:rFonts w:ascii="Palatino Linotype" w:hAnsi="Palatino Linotype" w:cs="Arial"/>
          <w:sz w:val="24"/>
          <w:szCs w:val="24"/>
        </w:rPr>
        <w:t xml:space="preserve"> (</w:t>
      </w:r>
      <w:r w:rsidR="00347624">
        <w:rPr>
          <w:rFonts w:ascii="Palatino Linotype" w:hAnsi="Palatino Linotype" w:cs="Arial"/>
          <w:sz w:val="24"/>
          <w:szCs w:val="24"/>
        </w:rPr>
        <w:t>09</w:t>
      </w:r>
      <w:r w:rsidR="00225026" w:rsidRPr="00072966">
        <w:rPr>
          <w:rFonts w:ascii="Palatino Linotype" w:hAnsi="Palatino Linotype" w:cs="Arial"/>
          <w:sz w:val="24"/>
          <w:szCs w:val="24"/>
        </w:rPr>
        <w:t xml:space="preserve">) de </w:t>
      </w:r>
      <w:r w:rsidR="00347624">
        <w:rPr>
          <w:rFonts w:ascii="Palatino Linotype" w:hAnsi="Palatino Linotype" w:cs="Arial"/>
          <w:sz w:val="24"/>
          <w:szCs w:val="24"/>
        </w:rPr>
        <w:t>enero</w:t>
      </w:r>
      <w:r w:rsidR="00C7250F" w:rsidRPr="00072966">
        <w:rPr>
          <w:rFonts w:ascii="Palatino Linotype" w:hAnsi="Palatino Linotype" w:cs="Arial"/>
          <w:sz w:val="24"/>
          <w:szCs w:val="24"/>
        </w:rPr>
        <w:t xml:space="preserve"> </w:t>
      </w:r>
      <w:r w:rsidR="0076241F" w:rsidRPr="00072966">
        <w:rPr>
          <w:rFonts w:ascii="Palatino Linotype" w:hAnsi="Palatino Linotype" w:cs="Arial"/>
          <w:sz w:val="24"/>
          <w:szCs w:val="24"/>
        </w:rPr>
        <w:t>de dos mil dieci</w:t>
      </w:r>
      <w:r w:rsidR="00347624">
        <w:rPr>
          <w:rFonts w:ascii="Palatino Linotype" w:hAnsi="Palatino Linotype" w:cs="Arial"/>
          <w:sz w:val="24"/>
          <w:szCs w:val="24"/>
        </w:rPr>
        <w:t>nueve</w:t>
      </w:r>
      <w:r w:rsidRPr="00072966">
        <w:rPr>
          <w:rFonts w:ascii="Palatino Linotype" w:hAnsi="Palatino Linotype" w:cs="Arial"/>
          <w:sz w:val="24"/>
          <w:szCs w:val="24"/>
        </w:rPr>
        <w:t>, en el recurso</w:t>
      </w:r>
      <w:r w:rsidR="002C1F75" w:rsidRPr="00072966">
        <w:rPr>
          <w:rFonts w:ascii="Palatino Linotype" w:hAnsi="Palatino Linotype" w:cs="Arial"/>
          <w:sz w:val="24"/>
          <w:szCs w:val="24"/>
        </w:rPr>
        <w:t xml:space="preserve"> de revisión promovido</w:t>
      </w:r>
      <w:r w:rsidRPr="00072966">
        <w:rPr>
          <w:rFonts w:ascii="Palatino Linotype" w:hAnsi="Palatino Linotype" w:cs="Arial"/>
          <w:sz w:val="24"/>
          <w:szCs w:val="24"/>
        </w:rPr>
        <w:t xml:space="preserve"> en contra de la respuesta del </w:t>
      </w:r>
      <w:r w:rsidR="00347624">
        <w:rPr>
          <w:rFonts w:ascii="Palatino Linotype" w:hAnsi="Palatino Linotype"/>
          <w:b/>
          <w:lang w:val="es-ES_tradnl"/>
        </w:rPr>
        <w:t>Ayuntamiento de Jocotitlán</w:t>
      </w:r>
      <w:r w:rsidRPr="00072966">
        <w:rPr>
          <w:rFonts w:ascii="Palatino Linotype" w:hAnsi="Palatino Linotype" w:cs="Arial"/>
          <w:sz w:val="24"/>
          <w:szCs w:val="24"/>
        </w:rPr>
        <w:t>, procedimiento a</w:t>
      </w:r>
      <w:r w:rsidR="0000525F" w:rsidRPr="00072966">
        <w:rPr>
          <w:rFonts w:ascii="Palatino Linotype" w:hAnsi="Palatino Linotype" w:cs="Arial"/>
          <w:sz w:val="24"/>
          <w:szCs w:val="24"/>
        </w:rPr>
        <w:t>l</w:t>
      </w:r>
      <w:r w:rsidR="00902248" w:rsidRPr="00072966">
        <w:rPr>
          <w:rFonts w:ascii="Palatino Linotype" w:hAnsi="Palatino Linotype" w:cs="Arial"/>
          <w:sz w:val="24"/>
          <w:szCs w:val="24"/>
        </w:rPr>
        <w:t xml:space="preserve"> que se le asignó </w:t>
      </w:r>
      <w:r w:rsidR="0000525F" w:rsidRPr="00072966">
        <w:rPr>
          <w:rFonts w:ascii="Palatino Linotype" w:hAnsi="Palatino Linotype" w:cs="Arial"/>
          <w:sz w:val="24"/>
          <w:szCs w:val="24"/>
        </w:rPr>
        <w:t>el</w:t>
      </w:r>
      <w:r w:rsidRPr="00072966">
        <w:rPr>
          <w:rFonts w:ascii="Palatino Linotype" w:hAnsi="Palatino Linotype" w:cs="Arial"/>
          <w:sz w:val="24"/>
          <w:szCs w:val="24"/>
        </w:rPr>
        <w:t xml:space="preserve"> número de expediente </w:t>
      </w:r>
      <w:r w:rsidR="0076241F" w:rsidRPr="00072966">
        <w:rPr>
          <w:rFonts w:ascii="Palatino Linotype" w:eastAsia="Times New Roman" w:hAnsi="Palatino Linotype" w:cs="Arial"/>
          <w:b/>
          <w:bCs/>
          <w:sz w:val="24"/>
          <w:szCs w:val="24"/>
          <w:lang w:eastAsia="es-ES"/>
        </w:rPr>
        <w:t>0</w:t>
      </w:r>
      <w:r w:rsidR="00347624">
        <w:rPr>
          <w:rFonts w:ascii="Palatino Linotype" w:eastAsia="Times New Roman" w:hAnsi="Palatino Linotype" w:cs="Arial"/>
          <w:b/>
          <w:bCs/>
          <w:sz w:val="24"/>
          <w:szCs w:val="24"/>
          <w:lang w:eastAsia="es-ES"/>
        </w:rPr>
        <w:t>4180</w:t>
      </w:r>
      <w:r w:rsidR="00C7250F" w:rsidRPr="00072966">
        <w:rPr>
          <w:rFonts w:ascii="Palatino Linotype" w:eastAsia="Times New Roman" w:hAnsi="Palatino Linotype" w:cs="Arial"/>
          <w:b/>
          <w:bCs/>
          <w:sz w:val="24"/>
          <w:szCs w:val="24"/>
          <w:lang w:eastAsia="es-ES"/>
        </w:rPr>
        <w:t>/INFOEM/IP/RR/2018</w:t>
      </w:r>
      <w:r w:rsidR="0000525F" w:rsidRPr="00072966">
        <w:rPr>
          <w:rFonts w:ascii="Palatino Linotype" w:eastAsia="Times New Roman" w:hAnsi="Palatino Linotype" w:cs="Arial"/>
          <w:b/>
          <w:bCs/>
          <w:sz w:val="24"/>
          <w:szCs w:val="24"/>
          <w:lang w:eastAsia="es-ES"/>
        </w:rPr>
        <w:t>.</w:t>
      </w:r>
    </w:p>
    <w:p w:rsidR="000A4B02" w:rsidRPr="000A4B02" w:rsidRDefault="000A4B02" w:rsidP="000A4B02">
      <w:pPr>
        <w:pStyle w:val="Prrafodelista"/>
        <w:spacing w:after="0" w:line="240" w:lineRule="auto"/>
        <w:ind w:left="426"/>
        <w:jc w:val="both"/>
        <w:rPr>
          <w:rFonts w:ascii="Palatino Linotype" w:hAnsi="Palatino Linotype" w:cs="Arial"/>
          <w:sz w:val="24"/>
          <w:szCs w:val="24"/>
        </w:rPr>
      </w:pPr>
    </w:p>
    <w:p w:rsidR="00702BD9" w:rsidRDefault="00C7250F" w:rsidP="00DD7431">
      <w:pPr>
        <w:pStyle w:val="Prrafodelista"/>
        <w:numPr>
          <w:ilvl w:val="0"/>
          <w:numId w:val="1"/>
        </w:numPr>
        <w:spacing w:after="0" w:line="360" w:lineRule="auto"/>
        <w:ind w:left="0" w:right="-93" w:firstLine="0"/>
        <w:jc w:val="both"/>
        <w:rPr>
          <w:rFonts w:ascii="Palatino Linotype" w:hAnsi="Palatino Linotype" w:cs="Arial"/>
          <w:sz w:val="24"/>
          <w:szCs w:val="24"/>
        </w:rPr>
      </w:pPr>
      <w:r w:rsidRPr="00347624">
        <w:rPr>
          <w:rFonts w:ascii="Palatino Linotype" w:hAnsi="Palatino Linotype" w:cs="Arial"/>
          <w:sz w:val="24"/>
          <w:szCs w:val="24"/>
        </w:rPr>
        <w:t xml:space="preserve">El </w:t>
      </w:r>
      <w:r w:rsidRPr="00DD7431">
        <w:rPr>
          <w:rFonts w:ascii="Palatino Linotype" w:eastAsia="Arial Unicode MS" w:hAnsi="Palatino Linotype" w:cs="Arial"/>
          <w:sz w:val="24"/>
          <w:szCs w:val="24"/>
          <w:bdr w:val="nil"/>
          <w:lang w:val="es-ES_tradnl"/>
        </w:rPr>
        <w:t>sentido</w:t>
      </w:r>
      <w:r w:rsidRPr="00347624">
        <w:rPr>
          <w:rFonts w:ascii="Palatino Linotype" w:hAnsi="Palatino Linotype" w:cs="Arial"/>
          <w:sz w:val="24"/>
          <w:szCs w:val="24"/>
        </w:rPr>
        <w:t xml:space="preserve"> de la Resolución puntualmente determina </w:t>
      </w:r>
      <w:r w:rsidR="00347624" w:rsidRPr="009A5396">
        <w:rPr>
          <w:rFonts w:ascii="Palatino Linotype" w:hAnsi="Palatino Linotype" w:cs="Arial"/>
          <w:b/>
          <w:sz w:val="24"/>
          <w:szCs w:val="24"/>
        </w:rPr>
        <w:t xml:space="preserve">SOBRESEER </w:t>
      </w:r>
      <w:r w:rsidR="00347624" w:rsidRPr="00347624">
        <w:rPr>
          <w:rFonts w:ascii="Palatino Linotype" w:hAnsi="Palatino Linotype" w:cs="Arial"/>
          <w:sz w:val="24"/>
          <w:szCs w:val="24"/>
        </w:rPr>
        <w:t>el recurso de revisión</w:t>
      </w:r>
      <w:r w:rsidR="00347624">
        <w:rPr>
          <w:rFonts w:ascii="Palatino Linotype" w:hAnsi="Palatino Linotype" w:cs="Arial"/>
          <w:sz w:val="24"/>
          <w:szCs w:val="24"/>
        </w:rPr>
        <w:t xml:space="preserve"> por considerar atendida la pretensión del particular.</w:t>
      </w:r>
    </w:p>
    <w:p w:rsidR="00347624" w:rsidRPr="00347624" w:rsidRDefault="00347624" w:rsidP="000A4B02">
      <w:pPr>
        <w:pStyle w:val="Prrafodelista"/>
        <w:spacing w:before="240" w:after="240" w:line="240" w:lineRule="auto"/>
        <w:ind w:left="360" w:right="49"/>
        <w:jc w:val="both"/>
        <w:rPr>
          <w:rFonts w:ascii="Palatino Linotype" w:hAnsi="Palatino Linotype" w:cs="Arial"/>
          <w:sz w:val="24"/>
          <w:szCs w:val="24"/>
        </w:rPr>
      </w:pPr>
    </w:p>
    <w:p w:rsidR="0046491C" w:rsidRPr="00072966" w:rsidRDefault="0046491C" w:rsidP="00DD7431">
      <w:pPr>
        <w:pStyle w:val="Prrafodelista"/>
        <w:numPr>
          <w:ilvl w:val="0"/>
          <w:numId w:val="1"/>
        </w:numPr>
        <w:spacing w:after="0" w:line="360" w:lineRule="auto"/>
        <w:ind w:left="0" w:right="-93" w:firstLine="0"/>
        <w:jc w:val="both"/>
        <w:rPr>
          <w:rFonts w:ascii="Palatino Linotype" w:hAnsi="Palatino Linotype" w:cs="Arial"/>
          <w:sz w:val="24"/>
          <w:szCs w:val="24"/>
        </w:rPr>
      </w:pPr>
      <w:r w:rsidRPr="00072966">
        <w:rPr>
          <w:rFonts w:ascii="Palatino Linotype" w:hAnsi="Palatino Linotype" w:cs="Arial"/>
          <w:sz w:val="24"/>
          <w:szCs w:val="24"/>
        </w:rPr>
        <w:t xml:space="preserve">Por tal motivo y en </w:t>
      </w:r>
      <w:r w:rsidRPr="00DD7431">
        <w:rPr>
          <w:rFonts w:ascii="Palatino Linotype" w:eastAsia="Arial Unicode MS" w:hAnsi="Palatino Linotype" w:cs="Arial"/>
          <w:sz w:val="24"/>
          <w:szCs w:val="24"/>
          <w:bdr w:val="nil"/>
          <w:lang w:val="es-ES_tradnl"/>
        </w:rPr>
        <w:t>términos</w:t>
      </w:r>
      <w:r w:rsidRPr="00072966">
        <w:rPr>
          <w:rFonts w:ascii="Palatino Linotype" w:hAnsi="Palatino Linotype" w:cs="Arial"/>
          <w:sz w:val="24"/>
          <w:szCs w:val="24"/>
        </w:rPr>
        <w:t xml:space="preserve"> de lo señalado por los artículos </w:t>
      </w:r>
      <w:r w:rsidR="00AA49F3" w:rsidRPr="00072966">
        <w:rPr>
          <w:rFonts w:ascii="Palatino Linotype" w:hAnsi="Palatino Linotype" w:cs="Arial"/>
          <w:sz w:val="24"/>
          <w:szCs w:val="24"/>
        </w:rPr>
        <w:t>14</w:t>
      </w:r>
      <w:r w:rsidRPr="00072966">
        <w:rPr>
          <w:rFonts w:ascii="Palatino Linotype" w:hAnsi="Palatino Linotype" w:cs="Arial"/>
          <w:sz w:val="24"/>
          <w:szCs w:val="24"/>
        </w:rPr>
        <w:t xml:space="preserve"> fracción </w:t>
      </w:r>
      <w:r w:rsidR="00AA49F3" w:rsidRPr="00072966">
        <w:rPr>
          <w:rFonts w:ascii="Palatino Linotype" w:hAnsi="Palatino Linotype" w:cs="Arial"/>
          <w:sz w:val="24"/>
          <w:szCs w:val="24"/>
        </w:rPr>
        <w:t>XI</w:t>
      </w:r>
      <w:r w:rsidRPr="00072966">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0A4B02" w:rsidRDefault="0001046D" w:rsidP="000A4B02">
      <w:pPr>
        <w:pStyle w:val="Prrafodelista"/>
        <w:spacing w:line="240" w:lineRule="auto"/>
        <w:rPr>
          <w:rFonts w:ascii="Palatino Linotype" w:hAnsi="Palatino Linotype" w:cs="Arial"/>
          <w:sz w:val="12"/>
          <w:szCs w:val="24"/>
        </w:rPr>
      </w:pPr>
    </w:p>
    <w:p w:rsidR="0046491C" w:rsidRPr="009A5396" w:rsidRDefault="0046491C" w:rsidP="00E34F08">
      <w:pPr>
        <w:pStyle w:val="Ttulo1"/>
        <w:numPr>
          <w:ilvl w:val="0"/>
          <w:numId w:val="12"/>
        </w:numPr>
        <w:spacing w:line="360" w:lineRule="auto"/>
        <w:rPr>
          <w:rFonts w:ascii="Palatino Linotype" w:hAnsi="Palatino Linotype"/>
          <w:b/>
          <w:color w:val="auto"/>
          <w:sz w:val="24"/>
          <w:szCs w:val="24"/>
        </w:rPr>
      </w:pPr>
      <w:bookmarkStart w:id="1" w:name="_Toc534985163"/>
      <w:r w:rsidRPr="009A5396">
        <w:rPr>
          <w:rFonts w:ascii="Palatino Linotype" w:hAnsi="Palatino Linotype"/>
          <w:b/>
          <w:color w:val="auto"/>
          <w:sz w:val="24"/>
          <w:szCs w:val="24"/>
        </w:rPr>
        <w:t>De los requerimientos planteados en el recurso de revisión.</w:t>
      </w:r>
      <w:bookmarkEnd w:id="1"/>
    </w:p>
    <w:p w:rsidR="0046491C" w:rsidRPr="009A5396" w:rsidRDefault="0046491C" w:rsidP="000A4B02">
      <w:pPr>
        <w:pStyle w:val="Prrafodelista"/>
        <w:spacing w:line="240" w:lineRule="auto"/>
        <w:ind w:left="1080"/>
        <w:jc w:val="both"/>
        <w:rPr>
          <w:rFonts w:ascii="Palatino Linotype" w:hAnsi="Palatino Linotype" w:cs="Arial"/>
          <w:sz w:val="24"/>
          <w:szCs w:val="24"/>
        </w:rPr>
      </w:pPr>
    </w:p>
    <w:p w:rsidR="009D2892" w:rsidRPr="009A5396" w:rsidRDefault="009D2892" w:rsidP="00DD7431">
      <w:pPr>
        <w:pStyle w:val="Prrafodelista"/>
        <w:numPr>
          <w:ilvl w:val="0"/>
          <w:numId w:val="1"/>
        </w:numPr>
        <w:spacing w:after="0" w:line="360" w:lineRule="auto"/>
        <w:ind w:left="0" w:right="-93" w:firstLine="0"/>
        <w:jc w:val="both"/>
        <w:rPr>
          <w:rFonts w:ascii="Palatino Linotype" w:eastAsia="Times New Roman" w:hAnsi="Palatino Linotype" w:cs="Times New Roman"/>
          <w:i/>
          <w:sz w:val="24"/>
          <w:szCs w:val="24"/>
          <w:lang w:val="es-ES_tradnl" w:eastAsia="es-ES"/>
        </w:rPr>
      </w:pPr>
      <w:r w:rsidRPr="009A5396">
        <w:rPr>
          <w:rFonts w:ascii="Palatino Linotype" w:hAnsi="Palatino Linotype" w:cs="Arial"/>
          <w:sz w:val="24"/>
          <w:szCs w:val="24"/>
        </w:rPr>
        <w:t>La parte recurrente</w:t>
      </w:r>
      <w:r w:rsidR="000D1743" w:rsidRPr="009A5396">
        <w:rPr>
          <w:rFonts w:ascii="Palatino Linotype" w:hAnsi="Palatino Linotype" w:cs="Arial"/>
          <w:sz w:val="24"/>
          <w:szCs w:val="24"/>
        </w:rPr>
        <w:t xml:space="preserve"> solicitó </w:t>
      </w:r>
      <w:r w:rsidRPr="009A5396">
        <w:rPr>
          <w:rFonts w:ascii="Palatino Linotype" w:hAnsi="Palatino Linotype" w:cs="Arial"/>
          <w:sz w:val="24"/>
          <w:szCs w:val="24"/>
        </w:rPr>
        <w:t xml:space="preserve">al </w:t>
      </w:r>
      <w:r w:rsidR="00347624" w:rsidRPr="009A5396">
        <w:rPr>
          <w:rFonts w:ascii="Palatino Linotype" w:hAnsi="Palatino Linotype" w:cs="Arial"/>
          <w:sz w:val="24"/>
          <w:szCs w:val="24"/>
        </w:rPr>
        <w:t>Ayuntamiento los estados analíticos de ingreso de enero a julio del año 2018 que fueron remitidos al Órgano Superior de Fiscalización.</w:t>
      </w:r>
    </w:p>
    <w:p w:rsidR="00347624" w:rsidRPr="009A5396" w:rsidRDefault="00347624" w:rsidP="00FE6326">
      <w:pPr>
        <w:pStyle w:val="Prrafodelista"/>
        <w:spacing w:after="0" w:line="240" w:lineRule="auto"/>
        <w:ind w:left="360"/>
        <w:jc w:val="both"/>
        <w:rPr>
          <w:rFonts w:ascii="Palatino Linotype" w:eastAsia="Times New Roman" w:hAnsi="Palatino Linotype" w:cs="Times New Roman"/>
          <w:i/>
          <w:sz w:val="24"/>
          <w:szCs w:val="24"/>
          <w:lang w:val="es-ES_tradnl" w:eastAsia="es-ES"/>
        </w:rPr>
      </w:pPr>
    </w:p>
    <w:p w:rsidR="00CF2F92" w:rsidRPr="009A5396" w:rsidRDefault="009D2892" w:rsidP="00DD7431">
      <w:pPr>
        <w:pStyle w:val="Prrafodelista"/>
        <w:numPr>
          <w:ilvl w:val="0"/>
          <w:numId w:val="1"/>
        </w:numPr>
        <w:spacing w:after="0" w:line="360" w:lineRule="auto"/>
        <w:ind w:left="0" w:right="-93" w:firstLine="0"/>
        <w:jc w:val="both"/>
        <w:rPr>
          <w:rFonts w:ascii="Palatino Linotype" w:eastAsia="Calibri" w:hAnsi="Palatino Linotype" w:cs="Tahoma"/>
          <w:iCs/>
          <w:sz w:val="24"/>
          <w:szCs w:val="24"/>
          <w:lang w:val="es-ES" w:eastAsia="es-ES_tradnl"/>
        </w:rPr>
      </w:pPr>
      <w:r w:rsidRPr="009A5396">
        <w:rPr>
          <w:rFonts w:ascii="Palatino Linotype" w:eastAsia="Calibri" w:hAnsi="Palatino Linotype" w:cs="Tahoma"/>
          <w:iCs/>
          <w:sz w:val="24"/>
          <w:szCs w:val="24"/>
          <w:lang w:val="es-ES" w:eastAsia="es-ES_tradnl"/>
        </w:rPr>
        <w:lastRenderedPageBreak/>
        <w:t xml:space="preserve">El Sujeto </w:t>
      </w:r>
      <w:r w:rsidRPr="00FE6326">
        <w:rPr>
          <w:rFonts w:ascii="Palatino Linotype" w:hAnsi="Palatino Linotype" w:cs="Arial"/>
          <w:sz w:val="24"/>
          <w:szCs w:val="24"/>
        </w:rPr>
        <w:t>Obligado</w:t>
      </w:r>
      <w:r w:rsidRPr="009A5396">
        <w:rPr>
          <w:rFonts w:ascii="Palatino Linotype" w:eastAsia="Calibri" w:hAnsi="Palatino Linotype" w:cs="Tahoma"/>
          <w:iCs/>
          <w:sz w:val="24"/>
          <w:szCs w:val="24"/>
          <w:lang w:val="es-ES" w:eastAsia="es-ES_tradnl"/>
        </w:rPr>
        <w:t xml:space="preserve"> en respuesta, </w:t>
      </w:r>
      <w:r w:rsidR="00CF2F92" w:rsidRPr="009A5396">
        <w:rPr>
          <w:rFonts w:ascii="Palatino Linotype" w:eastAsia="Calibri" w:hAnsi="Palatino Linotype" w:cs="Tahoma"/>
          <w:iCs/>
          <w:sz w:val="24"/>
          <w:szCs w:val="24"/>
          <w:lang w:val="es-ES" w:eastAsia="es-ES_tradnl"/>
        </w:rPr>
        <w:t>remitió diversos documentos en donde se aprecian los estados analíticos de ingresos de los meses requeridos.</w:t>
      </w:r>
    </w:p>
    <w:p w:rsidR="00CF2F92" w:rsidRPr="009A5396" w:rsidRDefault="00CF2F92" w:rsidP="00CF2F92">
      <w:pPr>
        <w:pStyle w:val="Prrafodelista"/>
        <w:rPr>
          <w:rFonts w:ascii="Palatino Linotype" w:eastAsia="Calibri" w:hAnsi="Palatino Linotype" w:cs="Tahoma"/>
          <w:iCs/>
          <w:sz w:val="24"/>
          <w:szCs w:val="24"/>
          <w:lang w:val="es-ES" w:eastAsia="es-ES_tradnl"/>
        </w:rPr>
      </w:pPr>
    </w:p>
    <w:p w:rsidR="009D2892" w:rsidRPr="009A5396" w:rsidRDefault="009D2892" w:rsidP="00DD7431">
      <w:pPr>
        <w:pStyle w:val="Prrafodelista"/>
        <w:numPr>
          <w:ilvl w:val="0"/>
          <w:numId w:val="1"/>
        </w:numPr>
        <w:spacing w:after="0" w:line="360" w:lineRule="auto"/>
        <w:ind w:left="0" w:right="-93" w:firstLine="0"/>
        <w:jc w:val="both"/>
        <w:rPr>
          <w:rFonts w:ascii="Palatino Linotype" w:eastAsia="Times New Roman" w:hAnsi="Palatino Linotype" w:cs="Times New Roman"/>
          <w:i/>
          <w:sz w:val="24"/>
          <w:szCs w:val="24"/>
          <w:lang w:val="es-ES_tradnl" w:eastAsia="es-ES"/>
        </w:rPr>
      </w:pPr>
      <w:r w:rsidRPr="009A5396">
        <w:rPr>
          <w:rFonts w:ascii="Palatino Linotype" w:hAnsi="Palatino Linotype" w:cs="Arial"/>
          <w:sz w:val="24"/>
          <w:szCs w:val="24"/>
        </w:rPr>
        <w:t xml:space="preserve">La recurrente se inconformó </w:t>
      </w:r>
      <w:r w:rsidRPr="009A5396">
        <w:rPr>
          <w:rFonts w:ascii="Palatino Linotype" w:eastAsia="Calibri" w:hAnsi="Palatino Linotype" w:cs="Tahoma"/>
          <w:iCs/>
          <w:sz w:val="24"/>
          <w:szCs w:val="24"/>
          <w:lang w:val="es-ES" w:eastAsia="es-ES_tradnl"/>
        </w:rPr>
        <w:t xml:space="preserve">porque </w:t>
      </w:r>
      <w:r w:rsidR="00CF2F92" w:rsidRPr="009A5396">
        <w:rPr>
          <w:rFonts w:ascii="Palatino Linotype" w:eastAsia="Calibri" w:hAnsi="Palatino Linotype" w:cs="Tahoma"/>
          <w:iCs/>
          <w:sz w:val="24"/>
          <w:szCs w:val="24"/>
          <w:lang w:val="es-ES" w:eastAsia="es-ES_tradnl"/>
        </w:rPr>
        <w:t xml:space="preserve">únicamente los meses de abril, junio y julio se pueden </w:t>
      </w:r>
      <w:r w:rsidR="00CF2F92" w:rsidRPr="00FE6326">
        <w:rPr>
          <w:rFonts w:ascii="Palatino Linotype" w:hAnsi="Palatino Linotype" w:cs="Arial"/>
          <w:sz w:val="24"/>
          <w:szCs w:val="24"/>
        </w:rPr>
        <w:t>leer</w:t>
      </w:r>
      <w:r w:rsidR="00CF2F92" w:rsidRPr="009A5396">
        <w:rPr>
          <w:rFonts w:ascii="Palatino Linotype" w:eastAsia="Calibri" w:hAnsi="Palatino Linotype" w:cs="Tahoma"/>
          <w:iCs/>
          <w:sz w:val="24"/>
          <w:szCs w:val="24"/>
          <w:lang w:val="es-ES" w:eastAsia="es-ES_tradnl"/>
        </w:rPr>
        <w:t>, mientras que los demás archivos correspondientes a los meses faltantes, resultan ilegibles.</w:t>
      </w:r>
    </w:p>
    <w:p w:rsidR="009D2892" w:rsidRPr="009A5396" w:rsidRDefault="009D2892" w:rsidP="00FE6326">
      <w:pPr>
        <w:spacing w:after="0" w:line="240" w:lineRule="auto"/>
        <w:jc w:val="both"/>
        <w:rPr>
          <w:rFonts w:ascii="Palatino Linotype" w:eastAsia="Times New Roman" w:hAnsi="Palatino Linotype" w:cs="Times New Roman"/>
          <w:i/>
          <w:sz w:val="24"/>
          <w:szCs w:val="24"/>
          <w:lang w:val="es-ES_tradnl" w:eastAsia="es-ES"/>
        </w:rPr>
      </w:pPr>
    </w:p>
    <w:p w:rsidR="0046491C" w:rsidRPr="009A5396" w:rsidRDefault="0046491C" w:rsidP="00DD7431">
      <w:pPr>
        <w:pStyle w:val="Prrafodelista"/>
        <w:numPr>
          <w:ilvl w:val="0"/>
          <w:numId w:val="1"/>
        </w:numPr>
        <w:spacing w:after="0" w:line="360" w:lineRule="auto"/>
        <w:ind w:left="0" w:right="-93" w:firstLine="0"/>
        <w:jc w:val="both"/>
        <w:rPr>
          <w:rFonts w:ascii="Palatino Linotype" w:hAnsi="Palatino Linotype" w:cs="Arial"/>
          <w:sz w:val="24"/>
          <w:szCs w:val="24"/>
        </w:rPr>
      </w:pPr>
      <w:r w:rsidRPr="009A5396">
        <w:rPr>
          <w:rFonts w:ascii="Palatino Linotype" w:hAnsi="Palatino Linotype" w:cs="Arial"/>
          <w:sz w:val="24"/>
          <w:szCs w:val="24"/>
        </w:rPr>
        <w:t xml:space="preserve">Si bien es de destacar, </w:t>
      </w:r>
      <w:r w:rsidR="00AE4797" w:rsidRPr="009A5396">
        <w:rPr>
          <w:rFonts w:ascii="Palatino Linotype" w:hAnsi="Palatino Linotype" w:cs="Arial"/>
          <w:sz w:val="24"/>
          <w:szCs w:val="24"/>
        </w:rPr>
        <w:t>que el Sujeto Obligado atiende la solicitud</w:t>
      </w:r>
      <w:r w:rsidR="00643C7E" w:rsidRPr="009A5396">
        <w:rPr>
          <w:rFonts w:ascii="Palatino Linotype" w:hAnsi="Palatino Linotype" w:cs="Arial"/>
          <w:sz w:val="24"/>
          <w:szCs w:val="24"/>
        </w:rPr>
        <w:t xml:space="preserve">, también lo es que el recurrente no se inconformó sobre la totalidad de la respuesta, </w:t>
      </w:r>
      <w:r w:rsidR="00FC5012" w:rsidRPr="009A5396">
        <w:rPr>
          <w:rFonts w:ascii="Palatino Linotype" w:hAnsi="Palatino Linotype" w:cs="Arial"/>
          <w:sz w:val="24"/>
          <w:szCs w:val="24"/>
        </w:rPr>
        <w:t xml:space="preserve">sin embargo, </w:t>
      </w:r>
      <w:r w:rsidRPr="009A5396">
        <w:rPr>
          <w:rFonts w:ascii="Palatino Linotype" w:hAnsi="Palatino Linotype" w:cs="Arial"/>
          <w:sz w:val="24"/>
          <w:szCs w:val="24"/>
        </w:rPr>
        <w:t xml:space="preserve">en el estudio y desarrollo de dicha resolución fueron invocados los llamados </w:t>
      </w:r>
      <w:r w:rsidR="006D268B" w:rsidRPr="009A5396">
        <w:rPr>
          <w:rFonts w:ascii="Palatino Linotype" w:hAnsi="Palatino Linotype" w:cs="Arial"/>
          <w:sz w:val="24"/>
          <w:szCs w:val="24"/>
        </w:rPr>
        <w:t>“</w:t>
      </w:r>
      <w:r w:rsidRPr="009A5396">
        <w:rPr>
          <w:rFonts w:ascii="Palatino Linotype" w:hAnsi="Palatino Linotype" w:cs="Arial"/>
          <w:sz w:val="24"/>
          <w:szCs w:val="24"/>
        </w:rPr>
        <w:t>actos consentidos</w:t>
      </w:r>
      <w:r w:rsidR="006D268B" w:rsidRPr="009A5396">
        <w:rPr>
          <w:rFonts w:ascii="Palatino Linotype" w:hAnsi="Palatino Linotype" w:cs="Arial"/>
          <w:sz w:val="24"/>
          <w:szCs w:val="24"/>
        </w:rPr>
        <w:t>”</w:t>
      </w:r>
      <w:r w:rsidRPr="009A5396">
        <w:rPr>
          <w:rFonts w:ascii="Palatino Linotype" w:hAnsi="Palatino Linotype" w:cs="Arial"/>
          <w:sz w:val="24"/>
          <w:szCs w:val="24"/>
        </w:rPr>
        <w:t>, tal y como se observa en las siguientes líneas de la resolución en comento:</w:t>
      </w:r>
    </w:p>
    <w:p w:rsidR="008702E8" w:rsidRPr="00FE6326" w:rsidRDefault="008702E8" w:rsidP="00FE6326">
      <w:pPr>
        <w:pStyle w:val="Prrafodelista"/>
        <w:spacing w:line="240" w:lineRule="auto"/>
        <w:rPr>
          <w:rFonts w:ascii="Palatino Linotype" w:hAnsi="Palatino Linotype" w:cs="Arial"/>
          <w:sz w:val="2"/>
          <w:szCs w:val="24"/>
        </w:rPr>
      </w:pPr>
    </w:p>
    <w:p w:rsidR="00CF2F92" w:rsidRPr="00CF2F92" w:rsidRDefault="0069498B" w:rsidP="00166140">
      <w:pPr>
        <w:spacing w:after="240" w:line="276" w:lineRule="auto"/>
        <w:ind w:left="567" w:right="616"/>
        <w:jc w:val="both"/>
        <w:rPr>
          <w:rFonts w:ascii="Palatino Linotype" w:eastAsia="Calibri" w:hAnsi="Palatino Linotype" w:cs="Tahoma"/>
          <w:i/>
          <w:iCs/>
          <w:lang w:val="es-ES" w:eastAsia="es-ES_tradnl"/>
        </w:rPr>
      </w:pPr>
      <w:r w:rsidRPr="009D2892">
        <w:rPr>
          <w:rFonts w:ascii="Palatino Linotype" w:hAnsi="Palatino Linotype" w:cs="Arial"/>
          <w:i/>
        </w:rPr>
        <w:t>“</w:t>
      </w:r>
      <w:r w:rsidR="00CF2F92" w:rsidRPr="00CF2F92">
        <w:rPr>
          <w:rFonts w:ascii="Palatino Linotype" w:eastAsia="Calibri" w:hAnsi="Palatino Linotype" w:cs="Tahoma"/>
          <w:i/>
          <w:iCs/>
          <w:lang w:val="es-ES" w:eastAsia="es-ES_tradnl"/>
        </w:rPr>
        <w:t xml:space="preserve">Derivado de lo </w:t>
      </w:r>
      <w:r w:rsidR="00CF2F92" w:rsidRPr="00DD7431">
        <w:rPr>
          <w:rFonts w:ascii="Palatino Linotype" w:hAnsi="Palatino Linotype" w:cs="Arial"/>
          <w:i/>
          <w:color w:val="000000" w:themeColor="text1"/>
        </w:rPr>
        <w:t>anterior</w:t>
      </w:r>
      <w:r w:rsidR="00CF2F92" w:rsidRPr="00CF2F92">
        <w:rPr>
          <w:rFonts w:ascii="Palatino Linotype" w:eastAsia="Calibri" w:hAnsi="Palatino Linotype" w:cs="Tahoma"/>
          <w:i/>
          <w:iCs/>
          <w:lang w:val="es-ES" w:eastAsia="es-ES_tradnl"/>
        </w:rPr>
        <w:t xml:space="preserve">, se colige que La Recurrente está parcialmente conforme con la respuesta emitida por El Sujeto Obligado, ya que expresamente manifestó en dichos motivos que el Ayuntamiento de Jocotitlán entregó la información de los meses de abril, junio y julio; y que los demás meses (enero, febrero, marzo y mayo), son ilegibles; y toda vez que no impugnó lo relativo a dichas cuestiones, se considera que La Recurrente consintió la parte de la respuesta. </w:t>
      </w:r>
    </w:p>
    <w:p w:rsidR="00CF2F92" w:rsidRPr="00CF2F92" w:rsidRDefault="00CF2F92" w:rsidP="00166140">
      <w:pPr>
        <w:spacing w:after="240" w:line="276" w:lineRule="auto"/>
        <w:ind w:left="567" w:right="616"/>
        <w:jc w:val="both"/>
        <w:rPr>
          <w:rFonts w:ascii="Palatino Linotype" w:eastAsia="Calibri" w:hAnsi="Palatino Linotype" w:cs="Tahoma"/>
          <w:i/>
          <w:iCs/>
          <w:lang w:val="es-ES" w:eastAsia="es-ES_tradnl"/>
        </w:rPr>
      </w:pPr>
      <w:r w:rsidRPr="00CF2F92">
        <w:rPr>
          <w:rFonts w:ascii="Palatino Linotype" w:eastAsia="Calibri" w:hAnsi="Palatino Linotype" w:cs="Tahoma"/>
          <w:i/>
          <w:iCs/>
          <w:lang w:val="es-ES" w:eastAsia="es-ES_tradnl"/>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w:t>
      </w:r>
      <w:proofErr w:type="spellStart"/>
      <w:r w:rsidRPr="00CF2F92">
        <w:rPr>
          <w:rFonts w:ascii="Palatino Linotype" w:eastAsia="Calibri" w:hAnsi="Palatino Linotype" w:cs="Tahoma"/>
          <w:i/>
          <w:iCs/>
          <w:lang w:val="es-ES" w:eastAsia="es-ES_tradnl"/>
        </w:rPr>
        <w:t>J.7</w:t>
      </w:r>
      <w:proofErr w:type="spellEnd"/>
      <w:r w:rsidRPr="00CF2F92">
        <w:rPr>
          <w:rFonts w:ascii="Palatino Linotype" w:eastAsia="Calibri" w:hAnsi="Palatino Linotype" w:cs="Tahoma"/>
          <w:i/>
          <w:iCs/>
          <w:lang w:val="es-ES" w:eastAsia="es-ES_tradnl"/>
        </w:rPr>
        <w:t>/91, publicada en el Semanario Judicial de la Federación y su Gaceta bajo el número de registro 174,177, que establece lo siguiente:</w:t>
      </w:r>
    </w:p>
    <w:p w:rsidR="00CF2F92" w:rsidRPr="00CF2F92" w:rsidRDefault="00CF2F92" w:rsidP="00166140">
      <w:pPr>
        <w:spacing w:after="240" w:line="276" w:lineRule="auto"/>
        <w:ind w:left="567" w:right="616"/>
        <w:jc w:val="both"/>
        <w:rPr>
          <w:rFonts w:ascii="Palatino Linotype" w:eastAsia="Calibri" w:hAnsi="Palatino Linotype" w:cs="Tahoma"/>
          <w:i/>
          <w:iCs/>
          <w:lang w:val="es-ES" w:eastAsia="es-ES_tradnl"/>
        </w:rPr>
      </w:pPr>
      <w:r w:rsidRPr="00CF2F92">
        <w:rPr>
          <w:rFonts w:ascii="Palatino Linotype" w:eastAsia="Calibri" w:hAnsi="Palatino Linotype" w:cs="Tahoma"/>
          <w:i/>
          <w:iCs/>
          <w:lang w:val="es-ES" w:eastAsia="es-ES_tradnl"/>
        </w:rPr>
        <w:t xml:space="preserve">“REVISIÓN EN AMPARO. LOS RESOLUTIVOS NO COMBATIDOS DEBEN DECLARARSE FIRMES. Cuando algún resolutivo de la sentencia impugnada afecta </w:t>
      </w:r>
      <w:r w:rsidRPr="00CF2F92">
        <w:rPr>
          <w:rFonts w:ascii="Palatino Linotype" w:eastAsia="Calibri" w:hAnsi="Palatino Linotype" w:cs="Tahoma"/>
          <w:i/>
          <w:iCs/>
          <w:lang w:val="es-ES" w:eastAsia="es-ES_tradnl"/>
        </w:rPr>
        <w:lastRenderedPageBreak/>
        <w:t>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CF2F92" w:rsidRPr="00CF2F92" w:rsidRDefault="00CF2F92" w:rsidP="00166140">
      <w:pPr>
        <w:spacing w:after="240" w:line="276" w:lineRule="auto"/>
        <w:ind w:left="567" w:right="616"/>
        <w:jc w:val="both"/>
        <w:rPr>
          <w:rFonts w:ascii="Palatino Linotype" w:eastAsia="Calibri" w:hAnsi="Palatino Linotype" w:cs="Tahoma"/>
          <w:i/>
          <w:iCs/>
          <w:lang w:val="es-ES" w:eastAsia="es-ES_tradnl"/>
        </w:rPr>
      </w:pPr>
      <w:r w:rsidRPr="00CF2F92">
        <w:rPr>
          <w:rFonts w:ascii="Palatino Linotype" w:eastAsia="Calibri" w:hAnsi="Palatino Linotype" w:cs="Tahoma"/>
          <w:i/>
          <w:iCs/>
          <w:lang w:val="es-ES" w:eastAsia="es-ES_tradnl"/>
        </w:rPr>
        <w:t xml:space="preserve">Así, la parte de la solicitud sobre la que no se expresó inconformidad, debe declararse consentida por la hoy Recurrente,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w:t>
      </w:r>
      <w:proofErr w:type="spellStart"/>
      <w:r w:rsidRPr="00CF2F92">
        <w:rPr>
          <w:rFonts w:ascii="Palatino Linotype" w:eastAsia="Calibri" w:hAnsi="Palatino Linotype" w:cs="Tahoma"/>
          <w:i/>
          <w:iCs/>
          <w:lang w:val="es-ES" w:eastAsia="es-ES_tradnl"/>
        </w:rPr>
        <w:t>VI.3o.C</w:t>
      </w:r>
      <w:proofErr w:type="spellEnd"/>
      <w:r w:rsidRPr="00CF2F92">
        <w:rPr>
          <w:rFonts w:ascii="Palatino Linotype" w:eastAsia="Calibri" w:hAnsi="Palatino Linotype" w:cs="Tahoma"/>
          <w:i/>
          <w:iCs/>
          <w:lang w:val="es-ES" w:eastAsia="es-ES_tradnl"/>
        </w:rPr>
        <w:t>. J/60, publicada en el Semanario Judicial de la Federación y su Gaceta bajo el número de registro 176,608 que a la letra dice:</w:t>
      </w:r>
    </w:p>
    <w:p w:rsidR="00CF2F92" w:rsidRPr="00CF2F92" w:rsidRDefault="00CF2F92" w:rsidP="00166140">
      <w:pPr>
        <w:spacing w:after="240" w:line="276" w:lineRule="auto"/>
        <w:ind w:left="567" w:right="616"/>
        <w:jc w:val="both"/>
        <w:rPr>
          <w:rFonts w:ascii="Palatino Linotype" w:eastAsia="Calibri" w:hAnsi="Palatino Linotype" w:cs="Tahoma"/>
          <w:i/>
          <w:iCs/>
          <w:lang w:val="es-ES" w:eastAsia="es-ES_tradnl"/>
        </w:rPr>
      </w:pPr>
      <w:r w:rsidRPr="00CF2F92">
        <w:rPr>
          <w:rFonts w:ascii="Palatino Linotype" w:eastAsia="Calibri" w:hAnsi="Palatino Linotype" w:cs="Tahoma"/>
          <w:i/>
          <w:iCs/>
          <w:lang w:val="es-ES" w:eastAsia="es-ES_tradnl"/>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69498B" w:rsidRDefault="00CF2F92" w:rsidP="00166140">
      <w:pPr>
        <w:spacing w:after="240" w:line="276" w:lineRule="auto"/>
        <w:ind w:left="567" w:right="616"/>
        <w:jc w:val="both"/>
        <w:rPr>
          <w:rFonts w:ascii="Palatino Linotype" w:eastAsia="Calibri" w:hAnsi="Palatino Linotype" w:cs="Tahoma"/>
          <w:i/>
          <w:iCs/>
          <w:lang w:val="es-ES" w:eastAsia="es-ES_tradnl"/>
        </w:rPr>
      </w:pPr>
      <w:r w:rsidRPr="00CF2F92">
        <w:rPr>
          <w:rFonts w:ascii="Palatino Linotype" w:eastAsia="Calibri" w:hAnsi="Palatino Linotype" w:cs="Tahoma"/>
          <w:i/>
          <w:iCs/>
          <w:lang w:val="es-ES" w:eastAsia="es-ES_tradnl"/>
        </w:rPr>
        <w:t>No obstante, como ya ha quedado establecido, La Recurrente se inconforma únicamente ante la ilegibilidad de los archivos que contienen la información de los meses de enero, febrero, marzo y mayo, correspondientes al estado analítico de ingresos, que fueron remitidos por el ayuntamiento de Jocotitlán al Órgano Superior de Fiscalización del Estado de México.</w:t>
      </w:r>
      <w:r w:rsidR="00B951FF" w:rsidRPr="00DD7431">
        <w:rPr>
          <w:rFonts w:ascii="Palatino Linotype" w:eastAsia="Calibri" w:hAnsi="Palatino Linotype" w:cs="Tahoma"/>
          <w:i/>
          <w:iCs/>
          <w:lang w:val="es-ES" w:eastAsia="es-ES_tradnl"/>
        </w:rPr>
        <w:t>”.</w:t>
      </w:r>
    </w:p>
    <w:p w:rsidR="00166140" w:rsidRPr="00166140" w:rsidRDefault="00166140" w:rsidP="00166140">
      <w:pPr>
        <w:spacing w:after="0" w:line="240" w:lineRule="auto"/>
        <w:ind w:left="567" w:right="616"/>
        <w:jc w:val="both"/>
        <w:rPr>
          <w:rFonts w:ascii="Palatino Linotype" w:eastAsia="Calibri" w:hAnsi="Palatino Linotype" w:cs="Tahoma"/>
          <w:i/>
          <w:iCs/>
          <w:sz w:val="10"/>
          <w:lang w:val="es-ES" w:eastAsia="es-ES_tradnl"/>
        </w:rPr>
      </w:pPr>
    </w:p>
    <w:p w:rsidR="008460C4" w:rsidRPr="009A5396" w:rsidRDefault="008460C4"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9A5396">
        <w:rPr>
          <w:rFonts w:ascii="Palatino Linotype" w:hAnsi="Palatino Linotype" w:cs="Arial"/>
          <w:sz w:val="24"/>
          <w:szCs w:val="24"/>
        </w:rPr>
        <w:t>He de manifestar que han sido varias las ocasiones en las que formulo votos particulares</w:t>
      </w:r>
      <w:r w:rsidR="00346358" w:rsidRPr="009A5396">
        <w:rPr>
          <w:rFonts w:ascii="Palatino Linotype" w:hAnsi="Palatino Linotype" w:cs="Arial"/>
          <w:sz w:val="24"/>
          <w:szCs w:val="24"/>
        </w:rPr>
        <w:t>,</w:t>
      </w:r>
      <w:r w:rsidRPr="009A5396">
        <w:rPr>
          <w:rFonts w:ascii="Palatino Linotype" w:hAnsi="Palatino Linotype" w:cs="Arial"/>
          <w:sz w:val="24"/>
          <w:szCs w:val="24"/>
        </w:rPr>
        <w:t xml:space="preserve"> porque en el estudio de los proyectos de resolución mencionan los llamados </w:t>
      </w:r>
      <w:r w:rsidRPr="009A5396">
        <w:rPr>
          <w:rFonts w:ascii="Palatino Linotype" w:hAnsi="Palatino Linotype" w:cs="Arial"/>
          <w:b/>
          <w:i/>
          <w:sz w:val="24"/>
          <w:szCs w:val="24"/>
        </w:rPr>
        <w:t xml:space="preserve">“actos consentidos”, </w:t>
      </w:r>
      <w:r w:rsidRPr="009A5396">
        <w:rPr>
          <w:rFonts w:ascii="Palatino Linotype" w:hAnsi="Palatino Linotype" w:cs="Arial"/>
          <w:sz w:val="24"/>
          <w:szCs w:val="24"/>
        </w:rPr>
        <w:t xml:space="preserve">sin embargo, en este caso en particular, difiero con </w:t>
      </w:r>
      <w:r w:rsidRPr="009A5396">
        <w:rPr>
          <w:rFonts w:ascii="Palatino Linotype" w:hAnsi="Palatino Linotype" w:cs="Arial"/>
          <w:sz w:val="24"/>
          <w:szCs w:val="24"/>
        </w:rPr>
        <w:lastRenderedPageBreak/>
        <w:t>mayor fuerza toda vez que lo que el Comisionado Ponente y mis demás compañeros Comisionados que integran el Pleno de este Órgano Garante</w:t>
      </w:r>
      <w:r w:rsidR="00346358" w:rsidRPr="009A5396">
        <w:rPr>
          <w:rFonts w:ascii="Palatino Linotype" w:hAnsi="Palatino Linotype" w:cs="Arial"/>
          <w:sz w:val="24"/>
          <w:szCs w:val="24"/>
        </w:rPr>
        <w:t>, consintieron</w:t>
      </w:r>
      <w:r w:rsidRPr="009A5396">
        <w:rPr>
          <w:rFonts w:ascii="Palatino Linotype" w:hAnsi="Palatino Linotype" w:cs="Arial"/>
          <w:sz w:val="24"/>
          <w:szCs w:val="24"/>
        </w:rPr>
        <w:t xml:space="preserve"> el cambio de modalidad para la entrega de las versiones estenográficas de las sesiones de cabildo del Sujeto Obligado del periodo comprendido del año 2017 y 2018</w:t>
      </w:r>
      <w:r w:rsidR="00937AD9" w:rsidRPr="009A5396">
        <w:rPr>
          <w:rFonts w:ascii="Palatino Linotype" w:hAnsi="Palatino Linotype" w:cs="Arial"/>
          <w:sz w:val="24"/>
          <w:szCs w:val="24"/>
        </w:rPr>
        <w:t>, sin estudiar, analizar o bien, justificar el cambio de modalidad, situación que pudiera causar un perjuicio al particular en razón de que a falta de justificación, se traduce que se le restringió el acceso a ésta información por la vía solicitada porque no se inconformó por ello.</w:t>
      </w:r>
    </w:p>
    <w:p w:rsidR="00BF2070" w:rsidRPr="009A5396" w:rsidRDefault="00BF2070" w:rsidP="00FE6326">
      <w:pPr>
        <w:pStyle w:val="Prrafodelista"/>
        <w:spacing w:before="240" w:after="240" w:line="240" w:lineRule="auto"/>
        <w:ind w:left="360" w:right="49"/>
        <w:jc w:val="both"/>
        <w:rPr>
          <w:rFonts w:ascii="Palatino Linotype" w:hAnsi="Palatino Linotype" w:cs="Arial"/>
          <w:sz w:val="24"/>
          <w:szCs w:val="24"/>
        </w:rPr>
      </w:pPr>
    </w:p>
    <w:p w:rsidR="0046491C" w:rsidRPr="009A5396"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9A5396">
        <w:rPr>
          <w:rFonts w:ascii="Palatino Linotype" w:hAnsi="Palatino Linotype" w:cs="Arial"/>
          <w:sz w:val="24"/>
          <w:szCs w:val="24"/>
        </w:rPr>
        <w:t>Derivado de lo transcrito con anterioridad, considero que la</w:t>
      </w:r>
      <w:r w:rsidR="00260D6C" w:rsidRPr="009A5396">
        <w:rPr>
          <w:rFonts w:ascii="Palatino Linotype" w:hAnsi="Palatino Linotype" w:cs="Arial"/>
          <w:sz w:val="24"/>
          <w:szCs w:val="24"/>
        </w:rPr>
        <w:t xml:space="preserve"> incorporación de </w:t>
      </w:r>
      <w:r w:rsidR="00260D6C" w:rsidRPr="00166140">
        <w:rPr>
          <w:rFonts w:ascii="Palatino Linotype" w:hAnsi="Palatino Linotype" w:cs="Arial"/>
          <w:sz w:val="24"/>
          <w:szCs w:val="24"/>
        </w:rPr>
        <w:t>dicho</w:t>
      </w:r>
      <w:r w:rsidR="00260D6C" w:rsidRPr="009A5396">
        <w:rPr>
          <w:rFonts w:ascii="Palatino Linotype" w:hAnsi="Palatino Linotype" w:cs="Arial"/>
          <w:sz w:val="24"/>
          <w:szCs w:val="24"/>
        </w:rPr>
        <w:t xml:space="preserve"> argumento</w:t>
      </w:r>
      <w:r w:rsidRPr="009A5396">
        <w:rPr>
          <w:rFonts w:ascii="Palatino Linotype" w:hAnsi="Palatino Linotype" w:cs="Arial"/>
          <w:sz w:val="24"/>
          <w:szCs w:val="24"/>
        </w:rPr>
        <w:t xml:space="preserve"> en la resolución en comento resulta a todas luces innecesari</w:t>
      </w:r>
      <w:r w:rsidR="00E61AB8" w:rsidRPr="009A5396">
        <w:rPr>
          <w:rFonts w:ascii="Palatino Linotype" w:hAnsi="Palatino Linotype" w:cs="Arial"/>
          <w:sz w:val="24"/>
          <w:szCs w:val="24"/>
        </w:rPr>
        <w:t xml:space="preserve">o y además no da </w:t>
      </w:r>
      <w:r w:rsidRPr="009A5396">
        <w:rPr>
          <w:rFonts w:ascii="Palatino Linotype" w:hAnsi="Palatino Linotype" w:cs="Arial"/>
          <w:sz w:val="24"/>
          <w:szCs w:val="24"/>
        </w:rPr>
        <w:t>lugar a invocarlos en el derecho humano fundamental de acceder a la información pública gubernamental.</w:t>
      </w:r>
      <w:r w:rsidRPr="009A5396">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al resto de los requerimientos que no fueron manifestados en el recurso de revisión. En el presente asunto que nos ocupa, es de señalar que del análisis hecho a la resolución en comento, no se discute que el </w:t>
      </w:r>
      <w:r w:rsidRPr="009A5396">
        <w:rPr>
          <w:rFonts w:ascii="Palatino Linotype" w:eastAsia="Calibri" w:hAnsi="Palatino Linotype" w:cs="Times New Roman"/>
          <w:b/>
          <w:sz w:val="24"/>
          <w:szCs w:val="24"/>
          <w:lang w:val="es-ES" w:eastAsia="es-ES"/>
        </w:rPr>
        <w:t>SUJETO OBLIGADO</w:t>
      </w:r>
      <w:r w:rsidRPr="009A5396">
        <w:rPr>
          <w:rFonts w:ascii="Palatino Linotype" w:eastAsia="Calibri" w:hAnsi="Palatino Linotype" w:cs="Times New Roman"/>
          <w:sz w:val="24"/>
          <w:szCs w:val="24"/>
          <w:lang w:val="es-ES" w:eastAsia="es-ES"/>
        </w:rPr>
        <w:t xml:space="preserve"> ha dado respuesta a la solicitud de información</w:t>
      </w:r>
      <w:r w:rsidR="00260D6C" w:rsidRPr="009A5396">
        <w:rPr>
          <w:rFonts w:ascii="Palatino Linotype" w:eastAsia="Calibri" w:hAnsi="Palatino Linotype" w:cs="Times New Roman"/>
          <w:sz w:val="24"/>
          <w:szCs w:val="24"/>
          <w:lang w:val="es-ES" w:eastAsia="es-ES"/>
        </w:rPr>
        <w:t xml:space="preserve"> en lo particular</w:t>
      </w:r>
      <w:r w:rsidRPr="009A5396">
        <w:rPr>
          <w:rFonts w:ascii="Palatino Linotype" w:eastAsia="Calibri" w:hAnsi="Palatino Linotype" w:cs="Times New Roman"/>
          <w:sz w:val="24"/>
          <w:szCs w:val="24"/>
          <w:lang w:val="es-ES" w:eastAsia="es-ES"/>
        </w:rPr>
        <w:t>, t</w:t>
      </w:r>
      <w:r w:rsidR="00260D6C" w:rsidRPr="009A5396">
        <w:rPr>
          <w:rFonts w:ascii="Palatino Linotype" w:eastAsia="Calibri" w:hAnsi="Palatino Linotype" w:cs="Times New Roman"/>
          <w:sz w:val="24"/>
          <w:szCs w:val="24"/>
          <w:lang w:val="es-ES" w:eastAsia="es-ES"/>
        </w:rPr>
        <w:t xml:space="preserve">an es así que al analizar la respuesta emitida se concluyó que colmó con </w:t>
      </w:r>
      <w:r w:rsidRPr="009A5396">
        <w:rPr>
          <w:rFonts w:ascii="Palatino Linotype" w:eastAsia="Calibri" w:hAnsi="Palatino Linotype" w:cs="Times New Roman"/>
          <w:sz w:val="24"/>
          <w:szCs w:val="24"/>
          <w:lang w:val="es-ES" w:eastAsia="es-ES"/>
        </w:rPr>
        <w:t xml:space="preserve">el derecho de acceso a la información, </w:t>
      </w:r>
      <w:r w:rsidR="00260D6C" w:rsidRPr="009A5396">
        <w:rPr>
          <w:rFonts w:ascii="Palatino Linotype" w:eastAsia="Calibri" w:hAnsi="Palatino Linotype" w:cs="Times New Roman"/>
          <w:sz w:val="24"/>
          <w:szCs w:val="24"/>
          <w:lang w:val="es-ES" w:eastAsia="es-ES"/>
        </w:rPr>
        <w:t xml:space="preserve">lo que en mi parecer </w:t>
      </w:r>
      <w:r w:rsidRPr="009A5396">
        <w:rPr>
          <w:rFonts w:ascii="Palatino Linotype" w:eastAsia="Calibri" w:hAnsi="Palatino Linotype" w:cs="Times New Roman"/>
          <w:sz w:val="24"/>
          <w:szCs w:val="24"/>
          <w:lang w:val="es-ES" w:eastAsia="es-ES"/>
        </w:rPr>
        <w:t>considero, es innecesario señalar</w:t>
      </w:r>
      <w:r w:rsidR="00194B6A" w:rsidRPr="009A5396">
        <w:rPr>
          <w:rFonts w:ascii="Palatino Linotype" w:eastAsia="Calibri" w:hAnsi="Palatino Linotype" w:cs="Times New Roman"/>
          <w:sz w:val="24"/>
          <w:szCs w:val="24"/>
          <w:lang w:val="es-ES" w:eastAsia="es-ES"/>
        </w:rPr>
        <w:t xml:space="preserve"> la figura de actos consentidos, éste instituto como órgano garante, es su deber velar por el cabal cumplimiento al derecho humano del acceso a la información, mas no limita</w:t>
      </w:r>
      <w:r w:rsidR="0001046D" w:rsidRPr="009A5396">
        <w:rPr>
          <w:rFonts w:ascii="Palatino Linotype" w:eastAsia="Calibri" w:hAnsi="Palatino Linotype" w:cs="Times New Roman"/>
          <w:sz w:val="24"/>
          <w:szCs w:val="24"/>
          <w:lang w:val="es-ES" w:eastAsia="es-ES"/>
        </w:rPr>
        <w:t>rlo invocando el multicitado argumento de</w:t>
      </w:r>
      <w:r w:rsidR="00194B6A" w:rsidRPr="009A5396">
        <w:rPr>
          <w:rFonts w:ascii="Palatino Linotype" w:eastAsia="Calibri" w:hAnsi="Palatino Linotype" w:cs="Times New Roman"/>
          <w:sz w:val="24"/>
          <w:szCs w:val="24"/>
          <w:lang w:val="es-ES" w:eastAsia="es-ES"/>
        </w:rPr>
        <w:t xml:space="preserve"> actos consentidos.</w:t>
      </w:r>
    </w:p>
    <w:p w:rsidR="0046491C" w:rsidRDefault="0046491C" w:rsidP="00E34F08">
      <w:pPr>
        <w:pStyle w:val="Ttulo1"/>
        <w:numPr>
          <w:ilvl w:val="0"/>
          <w:numId w:val="12"/>
        </w:numPr>
        <w:spacing w:line="360" w:lineRule="auto"/>
        <w:rPr>
          <w:rFonts w:ascii="Palatino Linotype" w:hAnsi="Palatino Linotype"/>
          <w:b/>
          <w:color w:val="auto"/>
          <w:sz w:val="24"/>
          <w:szCs w:val="24"/>
        </w:rPr>
      </w:pPr>
      <w:bookmarkStart w:id="2" w:name="_Toc534985164"/>
      <w:r w:rsidRPr="00072966">
        <w:rPr>
          <w:rFonts w:ascii="Palatino Linotype" w:hAnsi="Palatino Linotype"/>
          <w:b/>
          <w:color w:val="auto"/>
          <w:sz w:val="24"/>
          <w:szCs w:val="24"/>
        </w:rPr>
        <w:lastRenderedPageBreak/>
        <w:t>Los actos consentidos no deben invocarse en el derecho fundamental de acceder a la información pública gubernamental.</w:t>
      </w:r>
      <w:bookmarkEnd w:id="2"/>
    </w:p>
    <w:p w:rsidR="00FE6326" w:rsidRPr="00FE6326" w:rsidRDefault="00FE6326" w:rsidP="00FE6326">
      <w:pPr>
        <w:spacing w:line="240" w:lineRule="auto"/>
        <w:rPr>
          <w:sz w:val="2"/>
        </w:rPr>
      </w:pPr>
    </w:p>
    <w:p w:rsidR="0046491C" w:rsidRPr="00072966"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072966">
        <w:rPr>
          <w:rFonts w:ascii="Palatino Linotype" w:hAnsi="Palatino Linotype" w:cs="Arial"/>
          <w:sz w:val="24"/>
          <w:szCs w:val="24"/>
        </w:rPr>
        <w:t xml:space="preserve">En la resolución se precisa, un criterio </w:t>
      </w:r>
      <w:r w:rsidR="00260D6C" w:rsidRPr="00072966">
        <w:rPr>
          <w:rFonts w:ascii="Palatino Linotype" w:hAnsi="Palatino Linotype" w:cs="Arial"/>
          <w:sz w:val="24"/>
          <w:szCs w:val="24"/>
        </w:rPr>
        <w:t>denominado</w:t>
      </w:r>
      <w:r w:rsidRPr="00072966">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072966">
        <w:rPr>
          <w:rFonts w:ascii="Palatino Linotype" w:hAnsi="Palatino Linotype" w:cs="Arial"/>
          <w:b/>
          <w:sz w:val="24"/>
          <w:szCs w:val="24"/>
        </w:rPr>
        <w:t>acudir a un profesionista del derecho</w:t>
      </w:r>
      <w:r w:rsidRPr="00072966">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072966" w:rsidRDefault="0046491C" w:rsidP="00FE6326">
      <w:pPr>
        <w:pStyle w:val="Prrafodelista"/>
        <w:spacing w:after="0" w:line="240" w:lineRule="auto"/>
        <w:ind w:left="426"/>
        <w:jc w:val="both"/>
        <w:rPr>
          <w:rFonts w:ascii="Palatino Linotype" w:hAnsi="Palatino Linotype" w:cs="Arial"/>
          <w:sz w:val="24"/>
          <w:szCs w:val="24"/>
        </w:rPr>
      </w:pPr>
    </w:p>
    <w:p w:rsidR="0046491C" w:rsidRPr="00072966"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072966">
        <w:rPr>
          <w:rFonts w:ascii="Palatino Linotype" w:hAnsi="Palatino Linotype" w:cs="Arial"/>
          <w:sz w:val="24"/>
          <w:szCs w:val="24"/>
        </w:rPr>
        <w:t xml:space="preserve">La figura de la suplencia de la queja, para Héctor </w:t>
      </w:r>
      <w:proofErr w:type="spellStart"/>
      <w:r w:rsidRPr="00072966">
        <w:rPr>
          <w:rFonts w:ascii="Palatino Linotype" w:hAnsi="Palatino Linotype" w:cs="Arial"/>
          <w:sz w:val="24"/>
          <w:szCs w:val="24"/>
        </w:rPr>
        <w:t>Fix</w:t>
      </w:r>
      <w:proofErr w:type="spellEnd"/>
      <w:r w:rsidRPr="00072966">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w:t>
      </w:r>
      <w:r w:rsidRPr="00072966">
        <w:rPr>
          <w:rFonts w:ascii="Palatino Linotype" w:hAnsi="Palatino Linotype" w:cs="Arial"/>
          <w:sz w:val="24"/>
          <w:szCs w:val="24"/>
        </w:rPr>
        <w:lastRenderedPageBreak/>
        <w:t>debilidad económica y cultural, carecen de un debido asesoramiento, y que puede expenderse, como ocurre en el proceso social agrario, a los diversos actos procesales de la parte débil incluyendo el ofrecimiento y desahogo de los medios de prueba”.</w:t>
      </w:r>
      <w:r w:rsidRPr="00072966">
        <w:rPr>
          <w:rStyle w:val="Refdenotaalpie"/>
          <w:rFonts w:ascii="Palatino Linotype" w:hAnsi="Palatino Linotype" w:cs="Arial"/>
        </w:rPr>
        <w:footnoteReference w:id="1"/>
      </w:r>
      <w:r w:rsidRPr="00072966">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072966">
        <w:rPr>
          <w:rStyle w:val="Refdenotaalpie"/>
          <w:rFonts w:ascii="Palatino Linotype" w:hAnsi="Palatino Linotype" w:cs="Arial"/>
        </w:rPr>
        <w:footnoteReference w:id="2"/>
      </w:r>
      <w:r w:rsidRPr="00072966">
        <w:rPr>
          <w:rFonts w:ascii="Palatino Linotype" w:hAnsi="Palatino Linotype" w:cs="Arial"/>
          <w:sz w:val="24"/>
          <w:szCs w:val="24"/>
        </w:rPr>
        <w:t xml:space="preserve"> </w:t>
      </w:r>
    </w:p>
    <w:p w:rsidR="0046491C" w:rsidRPr="00072966" w:rsidRDefault="0046491C" w:rsidP="00FE6326">
      <w:pPr>
        <w:pStyle w:val="Prrafodelista"/>
        <w:spacing w:line="240" w:lineRule="auto"/>
        <w:jc w:val="both"/>
        <w:rPr>
          <w:rFonts w:ascii="Palatino Linotype" w:hAnsi="Palatino Linotype" w:cs="Arial"/>
          <w:sz w:val="24"/>
          <w:szCs w:val="24"/>
        </w:rPr>
      </w:pPr>
    </w:p>
    <w:p w:rsidR="0046491C" w:rsidRPr="00072966"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072966">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072966" w:rsidRDefault="0046491C" w:rsidP="00FE6326">
      <w:pPr>
        <w:spacing w:after="0" w:line="240" w:lineRule="auto"/>
        <w:jc w:val="both"/>
        <w:rPr>
          <w:rFonts w:ascii="Palatino Linotype" w:hAnsi="Palatino Linotype" w:cs="Arial"/>
          <w:sz w:val="24"/>
          <w:szCs w:val="24"/>
        </w:rPr>
      </w:pPr>
    </w:p>
    <w:p w:rsidR="0046491C" w:rsidRPr="00072966"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072966">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072966">
        <w:rPr>
          <w:rFonts w:ascii="Palatino Linotype" w:hAnsi="Palatino Linotype" w:cs="Arial"/>
          <w:b/>
          <w:sz w:val="24"/>
          <w:szCs w:val="24"/>
        </w:rPr>
        <w:t>garantía de los derechos humanos</w:t>
      </w:r>
      <w:r w:rsidRPr="00072966">
        <w:rPr>
          <w:rFonts w:ascii="Palatino Linotype" w:hAnsi="Palatino Linotype" w:cs="Arial"/>
          <w:sz w:val="24"/>
          <w:szCs w:val="24"/>
        </w:rPr>
        <w:t xml:space="preserve">, de tal forma que cualquier esfuerzo que se haga en el sentido de </w:t>
      </w:r>
      <w:r w:rsidRPr="00072966">
        <w:rPr>
          <w:rFonts w:ascii="Palatino Linotype" w:hAnsi="Palatino Linotype" w:cs="Arial"/>
          <w:sz w:val="24"/>
          <w:szCs w:val="24"/>
        </w:rPr>
        <w:lastRenderedPageBreak/>
        <w:t>cumplir con dicho mandato no resulta ocioso ni sobra sino demuestra el grado de compromiso de la autoridad con este aspecto toral de la reforma constitucional del 10 de junio de 2011.</w:t>
      </w:r>
    </w:p>
    <w:p w:rsidR="0046491C" w:rsidRPr="00072966" w:rsidRDefault="0046491C" w:rsidP="00FE6326">
      <w:pPr>
        <w:spacing w:after="0" w:line="240" w:lineRule="auto"/>
        <w:jc w:val="both"/>
        <w:rPr>
          <w:rFonts w:ascii="Palatino Linotype" w:hAnsi="Palatino Linotype" w:cs="Arial"/>
          <w:sz w:val="24"/>
          <w:szCs w:val="24"/>
        </w:rPr>
      </w:pPr>
    </w:p>
    <w:p w:rsidR="0046491C"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072966">
        <w:rPr>
          <w:rFonts w:ascii="Palatino Linotype" w:hAnsi="Palatino Linotype" w:cs="Arial"/>
          <w:sz w:val="24"/>
          <w:szCs w:val="24"/>
        </w:rPr>
        <w:t>En este sentido el Dr. Miguel Carbonell ha señalado que:</w:t>
      </w:r>
    </w:p>
    <w:p w:rsidR="00FE6326" w:rsidRPr="00FE6326" w:rsidRDefault="00FE6326" w:rsidP="00166140">
      <w:pPr>
        <w:pStyle w:val="Prrafodelista"/>
        <w:spacing w:after="0" w:line="240" w:lineRule="auto"/>
        <w:ind w:left="0"/>
        <w:jc w:val="both"/>
        <w:rPr>
          <w:rFonts w:ascii="Palatino Linotype" w:hAnsi="Palatino Linotype" w:cs="Arial"/>
          <w:sz w:val="10"/>
          <w:szCs w:val="24"/>
        </w:rPr>
      </w:pPr>
    </w:p>
    <w:p w:rsidR="0046491C" w:rsidRPr="00166140" w:rsidRDefault="0046491C" w:rsidP="00166140">
      <w:pPr>
        <w:spacing w:after="240" w:line="276" w:lineRule="auto"/>
        <w:ind w:left="567" w:right="616"/>
        <w:jc w:val="both"/>
        <w:rPr>
          <w:rFonts w:ascii="Palatino Linotype" w:hAnsi="Palatino Linotype" w:cs="Arial"/>
          <w:i/>
        </w:rPr>
      </w:pPr>
      <w:r w:rsidRPr="00166140">
        <w:rPr>
          <w:rFonts w:ascii="Palatino Linotype" w:hAnsi="Palatino Linotype" w:cs="Arial"/>
          <w:i/>
        </w:rPr>
        <w:t xml:space="preserve">“Queda claro, </w:t>
      </w:r>
      <w:r w:rsidRPr="00166140">
        <w:rPr>
          <w:rFonts w:ascii="Palatino Linotype" w:eastAsia="Calibri" w:hAnsi="Palatino Linotype" w:cs="Tahoma"/>
          <w:i/>
          <w:iCs/>
          <w:lang w:val="es-ES" w:eastAsia="es-ES_tradnl"/>
        </w:rPr>
        <w:t>en</w:t>
      </w:r>
      <w:r w:rsidRPr="00166140">
        <w:rPr>
          <w:rFonts w:ascii="Palatino Linotype" w:hAnsi="Palatino Linotype" w:cs="Arial"/>
          <w:i/>
        </w:rPr>
        <w:t xml:space="preserve"> consecuencia, que las obligaciones de promoción, respeto, protección y garantía de los derechos corren a cargo de todos los poderes, incluso </w:t>
      </w:r>
      <w:r w:rsidRPr="00166140">
        <w:rPr>
          <w:rFonts w:ascii="Palatino Linotype" w:hAnsi="Palatino Linotype" w:cs="Arial"/>
          <w:b/>
          <w:i/>
        </w:rPr>
        <w:t>considerando que algún nivel de gobierno tenga obligaciones reforzadas hacia ciertos derechos.</w:t>
      </w:r>
      <w:r w:rsidRPr="00166140">
        <w:rPr>
          <w:rFonts w:ascii="Palatino Linotype" w:hAnsi="Palatino Linotype" w:cs="Arial"/>
          <w:i/>
        </w:rPr>
        <w:t xml:space="preserve"> A partir de tales deberes generales, podemos afirmar que las autoridades de todos los niveles de gobierno también tienen la obligación positiva de </w:t>
      </w:r>
      <w:r w:rsidRPr="00166140">
        <w:rPr>
          <w:rFonts w:ascii="Palatino Linotype" w:hAnsi="Palatino Linotype" w:cs="Arial"/>
          <w:b/>
          <w:i/>
        </w:rPr>
        <w:t>tomar todas las medidas que sean pertinentes para tutelar y hacer eficaz un derecho</w:t>
      </w:r>
      <w:r w:rsidRPr="00166140">
        <w:rPr>
          <w:rFonts w:ascii="Palatino Linotype" w:hAnsi="Palatino Linotype" w:cs="Arial"/>
          <w:i/>
        </w:rPr>
        <w:t>”.</w:t>
      </w:r>
      <w:r w:rsidRPr="00166140">
        <w:rPr>
          <w:rStyle w:val="Refdenotaalpie"/>
          <w:rFonts w:ascii="Palatino Linotype" w:hAnsi="Palatino Linotype" w:cs="Arial"/>
          <w:i/>
        </w:rPr>
        <w:footnoteReference w:id="3"/>
      </w:r>
    </w:p>
    <w:p w:rsidR="00FE6326" w:rsidRPr="00166140" w:rsidRDefault="00FE6326" w:rsidP="00166140">
      <w:pPr>
        <w:pStyle w:val="Prrafodelista"/>
        <w:spacing w:after="0" w:line="240" w:lineRule="auto"/>
        <w:ind w:left="426"/>
        <w:jc w:val="both"/>
        <w:rPr>
          <w:rFonts w:ascii="Palatino Linotype" w:hAnsi="Palatino Linotype" w:cs="Arial"/>
          <w:sz w:val="12"/>
        </w:rPr>
      </w:pPr>
    </w:p>
    <w:p w:rsidR="0046491C" w:rsidRPr="00072966"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072966">
        <w:rPr>
          <w:rFonts w:ascii="Palatino Linotype" w:hAnsi="Palatino Linotype" w:cs="Arial"/>
          <w:sz w:val="24"/>
          <w:szCs w:val="24"/>
        </w:rPr>
        <w:t xml:space="preserve"> Por lo que restringir el derecho de acceso a la información pública del particular</w:t>
      </w:r>
      <w:r w:rsidRPr="00072966">
        <w:rPr>
          <w:rFonts w:ascii="Palatino Linotype" w:hAnsi="Palatino Linotype" w:cs="Arial"/>
          <w:b/>
          <w:sz w:val="24"/>
          <w:szCs w:val="24"/>
        </w:rPr>
        <w:t xml:space="preserve"> </w:t>
      </w:r>
      <w:r w:rsidRPr="00072966">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072966" w:rsidRDefault="0046491C" w:rsidP="00FE6326">
      <w:pPr>
        <w:pStyle w:val="Prrafodelista"/>
        <w:spacing w:after="0" w:line="240" w:lineRule="auto"/>
        <w:jc w:val="both"/>
        <w:rPr>
          <w:rFonts w:ascii="Palatino Linotype" w:hAnsi="Palatino Linotype" w:cs="Arial"/>
          <w:sz w:val="24"/>
          <w:szCs w:val="24"/>
        </w:rPr>
      </w:pPr>
    </w:p>
    <w:p w:rsidR="0046491C" w:rsidRPr="00043805" w:rsidRDefault="0046491C" w:rsidP="00166140">
      <w:pPr>
        <w:pStyle w:val="Prrafodelista"/>
        <w:numPr>
          <w:ilvl w:val="0"/>
          <w:numId w:val="1"/>
        </w:numPr>
        <w:spacing w:after="0" w:line="360" w:lineRule="auto"/>
        <w:ind w:left="0" w:right="-93" w:firstLine="0"/>
        <w:jc w:val="both"/>
        <w:rPr>
          <w:rFonts w:ascii="Palatino Linotype" w:hAnsi="Palatino Linotype" w:cs="Arial"/>
          <w:szCs w:val="24"/>
        </w:rPr>
      </w:pPr>
      <w:r w:rsidRPr="00072966">
        <w:rPr>
          <w:rFonts w:ascii="Palatino Linotype" w:hAnsi="Palatino Linotype" w:cs="Arial"/>
          <w:sz w:val="24"/>
          <w:szCs w:val="24"/>
        </w:rPr>
        <w:t xml:space="preserve"> </w:t>
      </w:r>
      <w:r w:rsidRPr="009A5396">
        <w:rPr>
          <w:rFonts w:ascii="Palatino Linotype" w:hAnsi="Palatino Linotype" w:cs="Arial"/>
          <w:sz w:val="24"/>
          <w:szCs w:val="24"/>
        </w:rPr>
        <w:t xml:space="preserve">Enfrentar este silencio  u omisión de los particulares a inconformarse por algún punto o requerimiento de origen solicitado, cuando es evidente que no le fue entregada la información o satisfecho el derecho de acceso a la información pública </w:t>
      </w:r>
      <w:r w:rsidRPr="009A5396">
        <w:rPr>
          <w:rFonts w:ascii="Palatino Linotype" w:hAnsi="Palatino Linotype" w:cs="Arial"/>
          <w:sz w:val="24"/>
          <w:szCs w:val="24"/>
        </w:rPr>
        <w:lastRenderedPageBreak/>
        <w:t>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072966" w:rsidRDefault="0046491C" w:rsidP="00FE6326">
      <w:pPr>
        <w:pStyle w:val="Prrafodelista"/>
        <w:spacing w:line="240" w:lineRule="auto"/>
        <w:jc w:val="both"/>
        <w:rPr>
          <w:rFonts w:ascii="Palatino Linotype" w:hAnsi="Palatino Linotype" w:cs="Arial"/>
          <w:sz w:val="24"/>
          <w:szCs w:val="24"/>
        </w:rPr>
      </w:pPr>
    </w:p>
    <w:p w:rsidR="0046491C" w:rsidRPr="009A5396"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9A5396">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9A5396">
        <w:rPr>
          <w:rFonts w:ascii="Palatino Linotype" w:hAnsi="Palatino Linotype" w:cs="Arial"/>
          <w:sz w:val="24"/>
          <w:szCs w:val="24"/>
        </w:rPr>
        <w:t>Cotta</w:t>
      </w:r>
      <w:proofErr w:type="spellEnd"/>
      <w:r w:rsidRPr="009A5396">
        <w:rPr>
          <w:rFonts w:ascii="Palatino Linotype" w:hAnsi="Palatino Linotype" w:cs="Arial"/>
          <w:sz w:val="24"/>
          <w:szCs w:val="24"/>
        </w:rPr>
        <w:t xml:space="preserve"> que “la obligatoriedad de la norma depende de la validez de su justificación, que es, por consiguiente el fundamento de aquella”,</w:t>
      </w:r>
      <w:r w:rsidRPr="009A5396">
        <w:rPr>
          <w:rStyle w:val="Refdenotaalpie"/>
          <w:rFonts w:ascii="Palatino Linotype" w:hAnsi="Palatino Linotype" w:cs="Arial"/>
          <w:sz w:val="24"/>
          <w:szCs w:val="24"/>
        </w:rPr>
        <w:footnoteReference w:id="4"/>
      </w:r>
      <w:r w:rsidRPr="009A5396">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9A5396" w:rsidRDefault="0046491C" w:rsidP="00FE6326">
      <w:pPr>
        <w:pStyle w:val="Prrafodelista"/>
        <w:spacing w:line="240" w:lineRule="auto"/>
        <w:jc w:val="both"/>
        <w:rPr>
          <w:rFonts w:ascii="Palatino Linotype" w:hAnsi="Palatino Linotype" w:cs="Arial"/>
          <w:sz w:val="24"/>
          <w:szCs w:val="24"/>
        </w:rPr>
      </w:pPr>
    </w:p>
    <w:p w:rsidR="00FE6326"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9A5396">
        <w:rPr>
          <w:rFonts w:ascii="Palatino Linotype" w:hAnsi="Palatino Linotype" w:cs="Arial"/>
          <w:sz w:val="24"/>
          <w:szCs w:val="24"/>
        </w:rPr>
        <w:t xml:space="preserve"> Mucho menos si consideramos el siguiente criterio: </w:t>
      </w:r>
    </w:p>
    <w:p w:rsidR="00FE6326" w:rsidRPr="00FE6326" w:rsidRDefault="00FE6326" w:rsidP="00FE6326">
      <w:pPr>
        <w:pStyle w:val="Prrafodelista"/>
        <w:spacing w:after="0" w:line="240" w:lineRule="auto"/>
        <w:rPr>
          <w:rFonts w:ascii="Palatino Linotype" w:hAnsi="Palatino Linotype" w:cs="Arial"/>
          <w:sz w:val="6"/>
          <w:szCs w:val="24"/>
        </w:rPr>
      </w:pPr>
    </w:p>
    <w:p w:rsidR="0046491C" w:rsidRPr="009A5396" w:rsidRDefault="0046491C" w:rsidP="00166140">
      <w:pPr>
        <w:spacing w:after="240" w:line="276" w:lineRule="auto"/>
        <w:ind w:left="567" w:right="616"/>
        <w:jc w:val="both"/>
        <w:rPr>
          <w:rFonts w:ascii="Palatino Linotype" w:hAnsi="Palatino Linotype" w:cs="Arial"/>
          <w:sz w:val="24"/>
          <w:szCs w:val="24"/>
        </w:rPr>
      </w:pPr>
      <w:r w:rsidRPr="00FE6326">
        <w:rPr>
          <w:rFonts w:ascii="Palatino Linotype" w:hAnsi="Palatino Linotype" w:cs="Arial"/>
          <w:i/>
        </w:rPr>
        <w:t xml:space="preserve">DERECHOS HUMANOS. OBLIGACIÓN DE PROTEGERLOS EN TÉRMINOS DEL ARTÍCULO </w:t>
      </w:r>
      <w:proofErr w:type="spellStart"/>
      <w:r w:rsidRPr="00FE6326">
        <w:rPr>
          <w:rFonts w:ascii="Palatino Linotype" w:hAnsi="Palatino Linotype" w:cs="Arial"/>
          <w:i/>
        </w:rPr>
        <w:t>1o</w:t>
      </w:r>
      <w:proofErr w:type="spellEnd"/>
      <w:r w:rsidRPr="00FE6326">
        <w:rPr>
          <w:rFonts w:ascii="Palatino Linotype" w:hAnsi="Palatino Linotype" w:cs="Arial"/>
          <w:i/>
        </w:rPr>
        <w:t xml:space="preserve">., PÁRRAFO TERCERO, DE LA CONSTITUCIÓN POLÍTICA DE LOS ESTADOS UNIDOS MEXICANOS. El párrafo tercero del artículo </w:t>
      </w:r>
      <w:proofErr w:type="spellStart"/>
      <w:r w:rsidRPr="00FE6326">
        <w:rPr>
          <w:rFonts w:ascii="Palatino Linotype" w:hAnsi="Palatino Linotype" w:cs="Arial"/>
          <w:i/>
        </w:rPr>
        <w:t>1o</w:t>
      </w:r>
      <w:proofErr w:type="spellEnd"/>
      <w:r w:rsidRPr="00FE6326">
        <w:rPr>
          <w:rFonts w:ascii="Palatino Linotype" w:hAnsi="Palatino Linotype" w:cs="Arial"/>
          <w:i/>
        </w:rPr>
        <w:t xml:space="preserve">. de la Constitución Política de los Estados Unidos Mexicanos dispone como obligaciones </w:t>
      </w:r>
      <w:r w:rsidRPr="00FE6326">
        <w:rPr>
          <w:rFonts w:ascii="Palatino Linotype" w:hAnsi="Palatino Linotype" w:cs="Arial"/>
          <w:i/>
        </w:rPr>
        <w:lastRenderedPageBreak/>
        <w:t xml:space="preserve">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FE6326">
        <w:rPr>
          <w:rFonts w:ascii="Palatino Linotype" w:hAnsi="Palatino Linotype" w:cs="Arial"/>
          <w:b/>
          <w:i/>
        </w:rPr>
        <w:t>el deber que tienen los órganos del Estado, dentro del margen de sus atribuciones, de prevenir violaciones a los derechos fundamentales,</w:t>
      </w:r>
      <w:r w:rsidRPr="00FE6326">
        <w:rPr>
          <w:rFonts w:ascii="Palatino Linotype" w:hAnsi="Palatino Linotype" w:cs="Arial"/>
          <w:i/>
        </w:rPr>
        <w:t xml:space="preserve"> ya sea que provengan de una autoridad o de algún particular y, por ello, </w:t>
      </w:r>
      <w:r w:rsidRPr="00FE6326">
        <w:rPr>
          <w:rFonts w:ascii="Palatino Linotype" w:hAnsi="Palatino Linotype" w:cs="Arial"/>
          <w:b/>
          <w:i/>
        </w:rPr>
        <w:t>debe contarse</w:t>
      </w:r>
      <w:r w:rsidRPr="00FE6326">
        <w:rPr>
          <w:rFonts w:ascii="Palatino Linotype" w:hAnsi="Palatino Linotype" w:cs="Arial"/>
          <w:i/>
        </w:rPr>
        <w:t xml:space="preserve"> tanto </w:t>
      </w:r>
      <w:r w:rsidRPr="00FE6326">
        <w:rPr>
          <w:rFonts w:ascii="Palatino Linotype" w:hAnsi="Palatino Linotype" w:cs="Arial"/>
          <w:b/>
          <w:i/>
        </w:rPr>
        <w:t>con mecanismos</w:t>
      </w:r>
      <w:r w:rsidRPr="00FE6326">
        <w:rPr>
          <w:rFonts w:ascii="Palatino Linotype" w:hAnsi="Palatino Linotype" w:cs="Arial"/>
          <w:i/>
        </w:rPr>
        <w:t xml:space="preserve"> de vigilancia como </w:t>
      </w:r>
      <w:r w:rsidRPr="00FE6326">
        <w:rPr>
          <w:rFonts w:ascii="Palatino Linotype" w:hAnsi="Palatino Linotype" w:cs="Arial"/>
          <w:b/>
          <w:i/>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FE6326">
        <w:rPr>
          <w:rFonts w:ascii="Palatino Linotype" w:hAnsi="Palatino Linotype" w:cs="Arial"/>
          <w:i/>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w:t>
      </w:r>
      <w:proofErr w:type="spellStart"/>
      <w:r w:rsidRPr="00FE6326">
        <w:rPr>
          <w:rFonts w:ascii="Palatino Linotype" w:hAnsi="Palatino Linotype" w:cs="Arial"/>
          <w:i/>
        </w:rPr>
        <w:t>XXVII.3o.3</w:t>
      </w:r>
      <w:proofErr w:type="spellEnd"/>
      <w:r w:rsidRPr="00FE6326">
        <w:rPr>
          <w:rFonts w:ascii="Palatino Linotype" w:hAnsi="Palatino Linotype" w:cs="Arial"/>
          <w:i/>
        </w:rPr>
        <w:t xml:space="preserve"> CS (</w:t>
      </w:r>
      <w:proofErr w:type="spellStart"/>
      <w:r w:rsidRPr="00FE6326">
        <w:rPr>
          <w:rFonts w:ascii="Palatino Linotype" w:hAnsi="Palatino Linotype" w:cs="Arial"/>
          <w:i/>
        </w:rPr>
        <w:t>10a</w:t>
      </w:r>
      <w:proofErr w:type="spellEnd"/>
      <w:r w:rsidRPr="00FE6326">
        <w:rPr>
          <w:rFonts w:ascii="Palatino Linotype" w:hAnsi="Palatino Linotype" w:cs="Arial"/>
          <w:i/>
        </w:rPr>
        <w:t>.) Tribunales Colegiados de Circuito. Décima Época, Gaceta del Semanario Judicial de la Federación, Libro 11, Octubre de 2014, Tomo III, Página: 2840</w:t>
      </w:r>
      <w:r w:rsidRPr="009A5396">
        <w:rPr>
          <w:rFonts w:ascii="Palatino Linotype" w:hAnsi="Palatino Linotype" w:cs="Arial"/>
          <w:sz w:val="24"/>
          <w:szCs w:val="24"/>
        </w:rPr>
        <w:t>.</w:t>
      </w:r>
    </w:p>
    <w:p w:rsidR="0046491C" w:rsidRPr="00166140" w:rsidRDefault="0046491C" w:rsidP="00166140">
      <w:pPr>
        <w:pStyle w:val="Prrafodelista"/>
        <w:spacing w:after="0" w:line="240" w:lineRule="auto"/>
        <w:ind w:left="426"/>
        <w:jc w:val="both"/>
        <w:rPr>
          <w:rFonts w:ascii="Palatino Linotype" w:hAnsi="Palatino Linotype" w:cs="Arial"/>
          <w:sz w:val="12"/>
          <w:szCs w:val="24"/>
        </w:rPr>
      </w:pPr>
    </w:p>
    <w:p w:rsidR="0046491C" w:rsidRPr="009A5396"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9A5396">
        <w:rPr>
          <w:rFonts w:ascii="Palatino Linotype" w:hAnsi="Palatino Linotype" w:cs="Arial"/>
          <w:sz w:val="24"/>
          <w:szCs w:val="24"/>
        </w:rPr>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9A5396">
        <w:rPr>
          <w:rFonts w:ascii="Palatino Linotype" w:hAnsi="Palatino Linotype" w:cs="Arial"/>
          <w:b/>
          <w:sz w:val="24"/>
          <w:szCs w:val="24"/>
        </w:rPr>
        <w:t>SUJETOS OBLIGADOS</w:t>
      </w:r>
      <w:r w:rsidRPr="009A5396">
        <w:rPr>
          <w:rFonts w:ascii="Palatino Linotype" w:hAnsi="Palatino Linotype" w:cs="Arial"/>
          <w:sz w:val="24"/>
          <w:szCs w:val="24"/>
        </w:rPr>
        <w:t xml:space="preserve"> sea evidente la falta de alguno de ellos, en ese tenor los particulares se ven impedidos, en los hechos, a acceder a una información que fue </w:t>
      </w:r>
      <w:r w:rsidRPr="009A5396">
        <w:rPr>
          <w:rFonts w:ascii="Palatino Linotype" w:hAnsi="Palatino Linotype" w:cs="Arial"/>
          <w:sz w:val="24"/>
          <w:szCs w:val="24"/>
        </w:rPr>
        <w:lastRenderedPageBreak/>
        <w:t>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DF6F7E" w:rsidRPr="00FE6326" w:rsidRDefault="00DF6F7E" w:rsidP="00FE6326">
      <w:pPr>
        <w:pStyle w:val="Prrafodelista"/>
        <w:spacing w:line="240" w:lineRule="auto"/>
        <w:rPr>
          <w:rFonts w:ascii="Palatino Linotype" w:hAnsi="Palatino Linotype" w:cs="Arial"/>
          <w:sz w:val="18"/>
          <w:szCs w:val="24"/>
        </w:rPr>
      </w:pPr>
    </w:p>
    <w:p w:rsidR="0046491C" w:rsidRPr="009A5396"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9A5396">
        <w:rPr>
          <w:rFonts w:ascii="Palatino Linotype" w:hAnsi="Palatino Linotype" w:cs="Arial"/>
          <w:sz w:val="24"/>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procedibilidad, ya que en todo momento nos encontramos ante un derecho más alto que, puede considerarse en los siguientes términos:</w:t>
      </w:r>
    </w:p>
    <w:p w:rsidR="0001046D" w:rsidRPr="00166140" w:rsidRDefault="0001046D" w:rsidP="00166140">
      <w:pPr>
        <w:pStyle w:val="Prrafodelista"/>
        <w:spacing w:after="0" w:line="240" w:lineRule="auto"/>
        <w:ind w:left="284"/>
        <w:jc w:val="both"/>
        <w:rPr>
          <w:rFonts w:ascii="Palatino Linotype" w:hAnsi="Palatino Linotype" w:cs="Arial"/>
          <w:sz w:val="14"/>
          <w:szCs w:val="24"/>
        </w:rPr>
      </w:pPr>
    </w:p>
    <w:p w:rsidR="009156AC" w:rsidRPr="00072966" w:rsidRDefault="0046491C" w:rsidP="00166140">
      <w:pPr>
        <w:spacing w:after="240" w:line="276" w:lineRule="auto"/>
        <w:ind w:left="567" w:right="616"/>
        <w:jc w:val="both"/>
        <w:rPr>
          <w:rFonts w:ascii="Palatino Linotype" w:hAnsi="Palatino Linotype" w:cs="Arial"/>
          <w:i/>
        </w:rPr>
      </w:pPr>
      <w:r w:rsidRPr="00072966">
        <w:rPr>
          <w:rFonts w:ascii="Palatino Linotype" w:hAnsi="Palatino Linotype" w:cs="Arial"/>
          <w:i/>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072966">
        <w:rPr>
          <w:rFonts w:ascii="Palatino Linotype" w:hAnsi="Palatino Linotype" w:cs="Arial"/>
          <w:i/>
        </w:rPr>
        <w:t>ocasionalidad</w:t>
      </w:r>
      <w:proofErr w:type="spellEnd"/>
      <w:r w:rsidRPr="00072966">
        <w:rPr>
          <w:rFonts w:ascii="Palatino Linotype" w:hAnsi="Palatino Linotype" w:cs="Arial"/>
          <w:i/>
        </w:rPr>
        <w:t xml:space="preserve"> de las presiones sociales que se ejercen sobre el mismo”.</w:t>
      </w:r>
      <w:r w:rsidRPr="00072966">
        <w:rPr>
          <w:rStyle w:val="Refdenotaalpie"/>
          <w:rFonts w:ascii="Palatino Linotype" w:hAnsi="Palatino Linotype" w:cs="Arial"/>
          <w:i/>
        </w:rPr>
        <w:footnoteReference w:id="5"/>
      </w:r>
    </w:p>
    <w:p w:rsidR="0046491C" w:rsidRPr="00043805" w:rsidRDefault="0046491C" w:rsidP="00166140">
      <w:pPr>
        <w:pStyle w:val="Prrafodelista"/>
        <w:numPr>
          <w:ilvl w:val="0"/>
          <w:numId w:val="1"/>
        </w:numPr>
        <w:spacing w:after="0" w:line="360" w:lineRule="auto"/>
        <w:ind w:left="0" w:right="-93" w:firstLine="0"/>
        <w:jc w:val="both"/>
        <w:rPr>
          <w:rFonts w:ascii="Palatino Linotype" w:hAnsi="Palatino Linotype" w:cs="Arial"/>
          <w:szCs w:val="24"/>
        </w:rPr>
      </w:pPr>
      <w:r w:rsidRPr="00072966">
        <w:rPr>
          <w:rFonts w:ascii="Palatino Linotype" w:hAnsi="Palatino Linotype" w:cs="Arial"/>
          <w:sz w:val="24"/>
          <w:szCs w:val="24"/>
        </w:rPr>
        <w:t xml:space="preserve"> </w:t>
      </w:r>
      <w:r w:rsidRPr="009A5396">
        <w:rPr>
          <w:rFonts w:ascii="Palatino Linotype" w:hAnsi="Palatino Linotype" w:cs="Arial"/>
          <w:sz w:val="24"/>
          <w:szCs w:val="24"/>
        </w:rPr>
        <w:t xml:space="preserve">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w:t>
      </w:r>
      <w:r w:rsidRPr="009A5396">
        <w:rPr>
          <w:rFonts w:ascii="Palatino Linotype" w:hAnsi="Palatino Linotype" w:cs="Arial"/>
          <w:sz w:val="24"/>
          <w:szCs w:val="24"/>
        </w:rPr>
        <w:lastRenderedPageBreak/>
        <w:t>protección. Declinar esa obligación por la experiencia pasada nos aleja del mandato constitucional y pretende otorgar plena certeza a la presunción de que la solicitud ha sido atendida, lo que de no ser así, afecta el derecho humano.</w:t>
      </w:r>
    </w:p>
    <w:p w:rsidR="0046491C" w:rsidRPr="00072966" w:rsidRDefault="0046491C" w:rsidP="00FE6326">
      <w:pPr>
        <w:pStyle w:val="Prrafodelista"/>
        <w:spacing w:after="0" w:line="240" w:lineRule="auto"/>
        <w:ind w:left="426"/>
        <w:jc w:val="both"/>
        <w:rPr>
          <w:rFonts w:ascii="Palatino Linotype" w:hAnsi="Palatino Linotype" w:cs="Arial"/>
          <w:sz w:val="24"/>
          <w:szCs w:val="24"/>
        </w:rPr>
      </w:pPr>
    </w:p>
    <w:p w:rsidR="00166140"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072966">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w:t>
      </w:r>
    </w:p>
    <w:p w:rsidR="00166140" w:rsidRPr="00166140" w:rsidRDefault="00166140" w:rsidP="00166140">
      <w:pPr>
        <w:pStyle w:val="Prrafodelista"/>
        <w:spacing w:line="240" w:lineRule="auto"/>
        <w:rPr>
          <w:rFonts w:ascii="Palatino Linotype" w:hAnsi="Palatino Linotype" w:cs="Arial"/>
          <w:sz w:val="24"/>
          <w:szCs w:val="24"/>
        </w:rPr>
      </w:pPr>
    </w:p>
    <w:p w:rsidR="0046491C" w:rsidRPr="00072966"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072966">
        <w:rPr>
          <w:rFonts w:ascii="Palatino Linotype" w:hAnsi="Palatino Linotype" w:cs="Arial"/>
          <w:sz w:val="24"/>
          <w:szCs w:val="24"/>
        </w:rPr>
        <w:t>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072966" w:rsidRDefault="00DF6F7E" w:rsidP="00FE6326">
      <w:pPr>
        <w:pStyle w:val="Prrafodelista"/>
        <w:spacing w:line="240" w:lineRule="auto"/>
        <w:jc w:val="both"/>
        <w:rPr>
          <w:rFonts w:ascii="Palatino Linotype" w:hAnsi="Palatino Linotype" w:cs="Arial"/>
          <w:sz w:val="24"/>
          <w:szCs w:val="24"/>
        </w:rPr>
      </w:pPr>
    </w:p>
    <w:p w:rsidR="0046491C" w:rsidRDefault="0046491C" w:rsidP="00166140">
      <w:pPr>
        <w:pStyle w:val="Prrafodelista"/>
        <w:numPr>
          <w:ilvl w:val="0"/>
          <w:numId w:val="1"/>
        </w:numPr>
        <w:spacing w:after="0" w:line="360" w:lineRule="auto"/>
        <w:ind w:left="0" w:right="-93" w:firstLine="0"/>
        <w:jc w:val="both"/>
        <w:rPr>
          <w:rFonts w:ascii="Palatino Linotype" w:hAnsi="Palatino Linotype" w:cs="Arial"/>
          <w:sz w:val="24"/>
          <w:szCs w:val="24"/>
        </w:rPr>
      </w:pPr>
      <w:r w:rsidRPr="00072966">
        <w:rPr>
          <w:rFonts w:ascii="Palatino Linotype" w:hAnsi="Palatino Linotype" w:cs="Arial"/>
          <w:sz w:val="24"/>
          <w:szCs w:val="24"/>
        </w:rPr>
        <w:t xml:space="preserve">Adoptar la posición que propongo pretende ordenar un acto de plena certeza, el que siempre puede ser matizado por un “en su caso” que restringe la medida </w:t>
      </w:r>
      <w:r w:rsidRPr="00072966">
        <w:rPr>
          <w:rFonts w:ascii="Palatino Linotype" w:hAnsi="Palatino Linotype" w:cs="Arial"/>
          <w:sz w:val="24"/>
          <w:szCs w:val="24"/>
        </w:rPr>
        <w:lastRenderedPageBreak/>
        <w:t xml:space="preserve">ordenada a que ésta no se haya realizado ya, lo que puede constituir un exceso, cierto, pero a todas luces admisible en materia de protección del derecho humano lo que, considero, fortalece al Estado Constitucional de Derecho, en lugar de vulnerarlo. </w:t>
      </w:r>
    </w:p>
    <w:p w:rsidR="00702BD9" w:rsidRDefault="00702BD9" w:rsidP="00702BD9">
      <w:pPr>
        <w:pStyle w:val="Prrafodelista"/>
        <w:spacing w:after="0" w:line="360" w:lineRule="auto"/>
        <w:ind w:left="426"/>
        <w:jc w:val="both"/>
        <w:rPr>
          <w:rFonts w:ascii="Palatino Linotype" w:hAnsi="Palatino Linotype" w:cs="Arial"/>
          <w:sz w:val="24"/>
          <w:szCs w:val="24"/>
        </w:rPr>
      </w:pPr>
    </w:p>
    <w:p w:rsidR="00166140" w:rsidRDefault="00166140" w:rsidP="00702BD9">
      <w:pPr>
        <w:pStyle w:val="Prrafodelista"/>
        <w:spacing w:after="0" w:line="360" w:lineRule="auto"/>
        <w:ind w:left="426"/>
        <w:jc w:val="both"/>
        <w:rPr>
          <w:rFonts w:ascii="Palatino Linotype" w:hAnsi="Palatino Linotype" w:cs="Arial"/>
          <w:sz w:val="24"/>
          <w:szCs w:val="24"/>
        </w:rPr>
      </w:pPr>
    </w:p>
    <w:p w:rsidR="00166140" w:rsidRDefault="00166140" w:rsidP="00702BD9">
      <w:pPr>
        <w:pStyle w:val="Prrafodelista"/>
        <w:spacing w:after="0" w:line="360" w:lineRule="auto"/>
        <w:ind w:left="426"/>
        <w:jc w:val="both"/>
        <w:rPr>
          <w:rFonts w:ascii="Palatino Linotype" w:hAnsi="Palatino Linotype" w:cs="Arial"/>
          <w:sz w:val="24"/>
          <w:szCs w:val="24"/>
        </w:rPr>
      </w:pPr>
    </w:p>
    <w:p w:rsidR="00166140" w:rsidRPr="00072966" w:rsidRDefault="00166140" w:rsidP="00702BD9">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Sinespaciado"/>
        <w:spacing w:line="360" w:lineRule="auto"/>
        <w:jc w:val="center"/>
        <w:rPr>
          <w:rFonts w:ascii="Palatino Linotype" w:hAnsi="Palatino Linotype"/>
          <w:b/>
          <w:sz w:val="24"/>
          <w:szCs w:val="24"/>
        </w:rPr>
      </w:pPr>
      <w:r w:rsidRPr="00072966">
        <w:rPr>
          <w:rFonts w:ascii="Palatino Linotype" w:hAnsi="Palatino Linotype"/>
          <w:b/>
          <w:sz w:val="24"/>
          <w:szCs w:val="24"/>
        </w:rPr>
        <w:t>JOSÉ GUADALUPE LUNA HERNÁNDEZ</w:t>
      </w:r>
    </w:p>
    <w:p w:rsidR="0046491C" w:rsidRDefault="0046491C" w:rsidP="00E34F08">
      <w:pPr>
        <w:spacing w:line="360" w:lineRule="auto"/>
        <w:jc w:val="center"/>
        <w:rPr>
          <w:rFonts w:ascii="Palatino Linotype" w:hAnsi="Palatino Linotype"/>
          <w:b/>
          <w:sz w:val="24"/>
          <w:szCs w:val="24"/>
        </w:rPr>
      </w:pPr>
      <w:r w:rsidRPr="00072966">
        <w:rPr>
          <w:rFonts w:ascii="Palatino Linotype" w:hAnsi="Palatino Linotype"/>
          <w:b/>
          <w:sz w:val="24"/>
          <w:szCs w:val="24"/>
        </w:rPr>
        <w:t>COMISIONADO</w:t>
      </w:r>
    </w:p>
    <w:p w:rsidR="00D33AF9" w:rsidRDefault="00166140" w:rsidP="00E34F08">
      <w:pPr>
        <w:spacing w:line="360" w:lineRule="auto"/>
        <w:jc w:val="center"/>
        <w:rPr>
          <w:rFonts w:ascii="Palatino Linotype" w:hAnsi="Palatino Linotype"/>
          <w:b/>
          <w:sz w:val="24"/>
          <w:szCs w:val="24"/>
        </w:rPr>
      </w:pPr>
      <w:r>
        <w:rPr>
          <w:rFonts w:ascii="Palatino Linotype" w:hAnsi="Palatino Linotype"/>
          <w:b/>
          <w:sz w:val="24"/>
          <w:szCs w:val="24"/>
        </w:rPr>
        <w:t>(Rúbrica)</w:t>
      </w:r>
    </w:p>
    <w:p w:rsidR="00166140" w:rsidRDefault="00166140" w:rsidP="00E34F08">
      <w:pPr>
        <w:spacing w:line="360" w:lineRule="auto"/>
        <w:jc w:val="center"/>
        <w:rPr>
          <w:rFonts w:ascii="Palatino Linotype" w:hAnsi="Palatino Linotype"/>
          <w:b/>
          <w:sz w:val="24"/>
          <w:szCs w:val="24"/>
        </w:rPr>
      </w:pPr>
    </w:p>
    <w:p w:rsidR="00166140" w:rsidRDefault="00166140" w:rsidP="00E34F08">
      <w:pPr>
        <w:spacing w:line="360" w:lineRule="auto"/>
        <w:jc w:val="center"/>
        <w:rPr>
          <w:rFonts w:ascii="Palatino Linotype" w:hAnsi="Palatino Linotype"/>
          <w:b/>
          <w:sz w:val="24"/>
          <w:szCs w:val="24"/>
        </w:rPr>
      </w:pPr>
      <w:bookmarkStart w:id="3" w:name="_GoBack"/>
      <w:bookmarkEnd w:id="3"/>
    </w:p>
    <w:p w:rsidR="00166140" w:rsidRDefault="00166140" w:rsidP="00E34F08">
      <w:pPr>
        <w:spacing w:line="360" w:lineRule="auto"/>
        <w:jc w:val="center"/>
        <w:rPr>
          <w:rFonts w:ascii="Palatino Linotype" w:hAnsi="Palatino Linotype"/>
          <w:b/>
          <w:sz w:val="24"/>
          <w:szCs w:val="24"/>
        </w:rPr>
      </w:pPr>
    </w:p>
    <w:p w:rsidR="00166140" w:rsidRDefault="00166140" w:rsidP="00E34F08">
      <w:pPr>
        <w:spacing w:line="360" w:lineRule="auto"/>
        <w:jc w:val="center"/>
        <w:rPr>
          <w:rFonts w:ascii="Palatino Linotype" w:hAnsi="Palatino Linotype"/>
          <w:b/>
          <w:sz w:val="24"/>
          <w:szCs w:val="24"/>
        </w:rPr>
      </w:pPr>
    </w:p>
    <w:p w:rsidR="00166140" w:rsidRDefault="00166140" w:rsidP="00E34F08">
      <w:pPr>
        <w:spacing w:line="360" w:lineRule="auto"/>
        <w:jc w:val="center"/>
        <w:rPr>
          <w:rFonts w:ascii="Palatino Linotype" w:hAnsi="Palatino Linotype"/>
          <w:b/>
          <w:sz w:val="24"/>
          <w:szCs w:val="24"/>
        </w:rPr>
      </w:pPr>
    </w:p>
    <w:p w:rsidR="00166140" w:rsidRDefault="00166140" w:rsidP="00E34F08">
      <w:pPr>
        <w:spacing w:line="360" w:lineRule="auto"/>
        <w:jc w:val="center"/>
        <w:rPr>
          <w:rFonts w:ascii="Palatino Linotype" w:hAnsi="Palatino Linotype"/>
          <w:b/>
          <w:sz w:val="24"/>
          <w:szCs w:val="24"/>
        </w:rPr>
      </w:pPr>
    </w:p>
    <w:p w:rsidR="00166140" w:rsidRDefault="00166140" w:rsidP="00E34F08">
      <w:pPr>
        <w:spacing w:line="360" w:lineRule="auto"/>
        <w:jc w:val="center"/>
        <w:rPr>
          <w:rFonts w:ascii="Palatino Linotype" w:hAnsi="Palatino Linotype"/>
          <w:b/>
          <w:sz w:val="24"/>
          <w:szCs w:val="24"/>
        </w:rPr>
      </w:pPr>
    </w:p>
    <w:p w:rsidR="00166140" w:rsidRPr="00072966" w:rsidRDefault="00166140" w:rsidP="00E34F08">
      <w:pPr>
        <w:spacing w:line="360" w:lineRule="auto"/>
        <w:jc w:val="center"/>
        <w:rPr>
          <w:rFonts w:ascii="Palatino Linotype" w:hAnsi="Palatino Linotype"/>
          <w:b/>
          <w:sz w:val="24"/>
          <w:szCs w:val="24"/>
        </w:rPr>
      </w:pPr>
    </w:p>
    <w:p w:rsidR="00575478" w:rsidRPr="00166140" w:rsidRDefault="0099266A" w:rsidP="00575478">
      <w:pPr>
        <w:spacing w:line="360" w:lineRule="auto"/>
        <w:rPr>
          <w:rFonts w:ascii="Palatino Linotype" w:hAnsi="Palatino Linotype"/>
          <w:b/>
          <w:sz w:val="18"/>
          <w:szCs w:val="18"/>
        </w:rPr>
      </w:pPr>
      <w:r w:rsidRPr="00166140">
        <w:rPr>
          <w:rFonts w:ascii="Palatino Linotype" w:hAnsi="Palatino Linotype"/>
          <w:b/>
          <w:sz w:val="18"/>
          <w:szCs w:val="18"/>
        </w:rPr>
        <w:t>JGLH/</w:t>
      </w:r>
      <w:proofErr w:type="spellStart"/>
      <w:r w:rsidRPr="00166140">
        <w:rPr>
          <w:rFonts w:ascii="Palatino Linotype" w:hAnsi="Palatino Linotype"/>
          <w:b/>
          <w:sz w:val="18"/>
          <w:szCs w:val="18"/>
        </w:rPr>
        <w:t>ADM</w:t>
      </w:r>
      <w:proofErr w:type="spellEnd"/>
    </w:p>
    <w:sectPr w:rsidR="00575478" w:rsidRPr="00166140" w:rsidSect="00DD7431">
      <w:headerReference w:type="even" r:id="rId8"/>
      <w:headerReference w:type="default" r:id="rId9"/>
      <w:footerReference w:type="even" r:id="rId10"/>
      <w:footerReference w:type="default" r:id="rId11"/>
      <w:headerReference w:type="first" r:id="rId12"/>
      <w:footerReference w:type="first" r:id="rId13"/>
      <w:pgSz w:w="12240" w:h="15840" w:code="1"/>
      <w:pgMar w:top="2438"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43D" w:rsidRDefault="0071343D" w:rsidP="00E706DA">
      <w:pPr>
        <w:spacing w:after="0" w:line="240" w:lineRule="auto"/>
      </w:pPr>
      <w:r>
        <w:separator/>
      </w:r>
    </w:p>
  </w:endnote>
  <w:endnote w:type="continuationSeparator" w:id="0">
    <w:p w:rsidR="0071343D" w:rsidRDefault="0071343D"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71343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242A80">
              <w:rPr>
                <w:rFonts w:ascii="Palatino Linotype" w:hAnsi="Palatino Linotype"/>
                <w:b/>
                <w:bCs/>
                <w:noProof/>
                <w:sz w:val="20"/>
                <w:szCs w:val="20"/>
              </w:rPr>
              <w:t>12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242A80">
              <w:rPr>
                <w:rFonts w:ascii="Palatino Linotype" w:hAnsi="Palatino Linotype"/>
                <w:b/>
                <w:bCs/>
                <w:noProof/>
                <w:sz w:val="20"/>
                <w:szCs w:val="20"/>
              </w:rPr>
              <w:t>14</w:t>
            </w:r>
            <w:r w:rsidRPr="0052203D">
              <w:rPr>
                <w:rFonts w:ascii="Palatino Linotype" w:hAnsi="Palatino Linotype"/>
                <w:b/>
                <w:bCs/>
                <w:sz w:val="20"/>
                <w:szCs w:val="20"/>
              </w:rPr>
              <w:fldChar w:fldCharType="end"/>
            </w:r>
          </w:p>
        </w:sdtContent>
      </w:sdt>
    </w:sdtContent>
  </w:sdt>
  <w:p w:rsidR="00951E8B" w:rsidRDefault="0071343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7134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43D" w:rsidRDefault="0071343D" w:rsidP="00E706DA">
      <w:pPr>
        <w:spacing w:after="0" w:line="240" w:lineRule="auto"/>
      </w:pPr>
      <w:r>
        <w:separator/>
      </w:r>
    </w:p>
  </w:footnote>
  <w:footnote w:type="continuationSeparator" w:id="0">
    <w:p w:rsidR="0071343D" w:rsidRDefault="0071343D"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w:t>
      </w:r>
      <w:proofErr w:type="spellStart"/>
      <w:r>
        <w:t>COTTA</w:t>
      </w:r>
      <w:proofErr w:type="spellEnd"/>
      <w:r>
        <w:t xml:space="preserve">,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71343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71343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71343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71343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33656"/>
    <w:multiLevelType w:val="hybridMultilevel"/>
    <w:tmpl w:val="64B288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85593A"/>
    <w:multiLevelType w:val="hybridMultilevel"/>
    <w:tmpl w:val="1AD49F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FFA6731"/>
    <w:multiLevelType w:val="hybridMultilevel"/>
    <w:tmpl w:val="2B28E20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3E5810"/>
    <w:multiLevelType w:val="hybridMultilevel"/>
    <w:tmpl w:val="78A241F8"/>
    <w:lvl w:ilvl="0" w:tplc="CACA3A86">
      <w:start w:val="1"/>
      <w:numFmt w:val="upperRoman"/>
      <w:lvlText w:val="%1."/>
      <w:lvlJc w:val="left"/>
      <w:pPr>
        <w:ind w:left="1080" w:hanging="720"/>
      </w:pPr>
      <w:rPr>
        <w:rFonts w:hint="default"/>
      </w:rPr>
    </w:lvl>
    <w:lvl w:ilvl="1" w:tplc="5158227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ABA140E"/>
    <w:multiLevelType w:val="hybridMultilevel"/>
    <w:tmpl w:val="17F45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9147BFF"/>
    <w:multiLevelType w:val="hybridMultilevel"/>
    <w:tmpl w:val="8AA458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DA239B5"/>
    <w:multiLevelType w:val="hybridMultilevel"/>
    <w:tmpl w:val="38A6C9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
  </w:num>
  <w:num w:numId="3">
    <w:abstractNumId w:val="7"/>
  </w:num>
  <w:num w:numId="4">
    <w:abstractNumId w:val="9"/>
  </w:num>
  <w:num w:numId="5">
    <w:abstractNumId w:val="11"/>
  </w:num>
  <w:num w:numId="6">
    <w:abstractNumId w:val="13"/>
  </w:num>
  <w:num w:numId="7">
    <w:abstractNumId w:val="17"/>
  </w:num>
  <w:num w:numId="8">
    <w:abstractNumId w:val="15"/>
  </w:num>
  <w:num w:numId="9">
    <w:abstractNumId w:val="20"/>
  </w:num>
  <w:num w:numId="10">
    <w:abstractNumId w:val="3"/>
  </w:num>
  <w:num w:numId="11">
    <w:abstractNumId w:val="19"/>
  </w:num>
  <w:num w:numId="12">
    <w:abstractNumId w:val="8"/>
  </w:num>
  <w:num w:numId="13">
    <w:abstractNumId w:val="4"/>
  </w:num>
  <w:num w:numId="14">
    <w:abstractNumId w:val="6"/>
  </w:num>
  <w:num w:numId="15">
    <w:abstractNumId w:val="14"/>
  </w:num>
  <w:num w:numId="16">
    <w:abstractNumId w:val="1"/>
  </w:num>
  <w:num w:numId="17">
    <w:abstractNumId w:val="0"/>
  </w:num>
  <w:num w:numId="18">
    <w:abstractNumId w:val="10"/>
  </w:num>
  <w:num w:numId="19">
    <w:abstractNumId w:val="5"/>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6A9F"/>
    <w:rsid w:val="00043805"/>
    <w:rsid w:val="00072966"/>
    <w:rsid w:val="00073F0D"/>
    <w:rsid w:val="00085188"/>
    <w:rsid w:val="000951B4"/>
    <w:rsid w:val="000A4B02"/>
    <w:rsid w:val="000A77B5"/>
    <w:rsid w:val="000A7B66"/>
    <w:rsid w:val="000D1743"/>
    <w:rsid w:val="000F6CBB"/>
    <w:rsid w:val="000F7162"/>
    <w:rsid w:val="0010615C"/>
    <w:rsid w:val="001102C3"/>
    <w:rsid w:val="00122625"/>
    <w:rsid w:val="001574EC"/>
    <w:rsid w:val="00166140"/>
    <w:rsid w:val="00194B6A"/>
    <w:rsid w:val="001A51F3"/>
    <w:rsid w:val="001C545F"/>
    <w:rsid w:val="001C62B2"/>
    <w:rsid w:val="001D3F34"/>
    <w:rsid w:val="001E0928"/>
    <w:rsid w:val="0020315F"/>
    <w:rsid w:val="002036ED"/>
    <w:rsid w:val="00214EC5"/>
    <w:rsid w:val="00225026"/>
    <w:rsid w:val="00242A80"/>
    <w:rsid w:val="00260D6C"/>
    <w:rsid w:val="002620E9"/>
    <w:rsid w:val="00281310"/>
    <w:rsid w:val="002C1F75"/>
    <w:rsid w:val="002D6857"/>
    <w:rsid w:val="002E1956"/>
    <w:rsid w:val="00333DB9"/>
    <w:rsid w:val="00343601"/>
    <w:rsid w:val="00346358"/>
    <w:rsid w:val="00346DBD"/>
    <w:rsid w:val="00347624"/>
    <w:rsid w:val="00367E00"/>
    <w:rsid w:val="003705BB"/>
    <w:rsid w:val="003747A5"/>
    <w:rsid w:val="00386688"/>
    <w:rsid w:val="00393E96"/>
    <w:rsid w:val="003C4F79"/>
    <w:rsid w:val="003D7B9E"/>
    <w:rsid w:val="00412952"/>
    <w:rsid w:val="00424DE3"/>
    <w:rsid w:val="00444048"/>
    <w:rsid w:val="00452F18"/>
    <w:rsid w:val="0046491C"/>
    <w:rsid w:val="00471ACB"/>
    <w:rsid w:val="0048490F"/>
    <w:rsid w:val="004C6BBF"/>
    <w:rsid w:val="00525DF2"/>
    <w:rsid w:val="00532410"/>
    <w:rsid w:val="00575478"/>
    <w:rsid w:val="005A3267"/>
    <w:rsid w:val="005D4F74"/>
    <w:rsid w:val="005F6A90"/>
    <w:rsid w:val="00634736"/>
    <w:rsid w:val="00643C7E"/>
    <w:rsid w:val="006728FD"/>
    <w:rsid w:val="0069498B"/>
    <w:rsid w:val="006D268B"/>
    <w:rsid w:val="00702BD9"/>
    <w:rsid w:val="0071343D"/>
    <w:rsid w:val="00717C0D"/>
    <w:rsid w:val="0072136B"/>
    <w:rsid w:val="0076241F"/>
    <w:rsid w:val="00770016"/>
    <w:rsid w:val="00790E37"/>
    <w:rsid w:val="007A7FAD"/>
    <w:rsid w:val="007C43FB"/>
    <w:rsid w:val="007D1488"/>
    <w:rsid w:val="00814E97"/>
    <w:rsid w:val="00817341"/>
    <w:rsid w:val="0082452E"/>
    <w:rsid w:val="008361CA"/>
    <w:rsid w:val="008460C4"/>
    <w:rsid w:val="00847389"/>
    <w:rsid w:val="00850252"/>
    <w:rsid w:val="00856FA1"/>
    <w:rsid w:val="008702E8"/>
    <w:rsid w:val="008822B3"/>
    <w:rsid w:val="008858F1"/>
    <w:rsid w:val="008911CF"/>
    <w:rsid w:val="008977B4"/>
    <w:rsid w:val="008B03B6"/>
    <w:rsid w:val="008E1DCC"/>
    <w:rsid w:val="008F3E81"/>
    <w:rsid w:val="00900E75"/>
    <w:rsid w:val="00902248"/>
    <w:rsid w:val="009156AC"/>
    <w:rsid w:val="00927C4F"/>
    <w:rsid w:val="00937AD9"/>
    <w:rsid w:val="00937D7D"/>
    <w:rsid w:val="0094239C"/>
    <w:rsid w:val="00950792"/>
    <w:rsid w:val="0099266A"/>
    <w:rsid w:val="009A3355"/>
    <w:rsid w:val="009A5396"/>
    <w:rsid w:val="009C4EF6"/>
    <w:rsid w:val="009D2892"/>
    <w:rsid w:val="009E3A26"/>
    <w:rsid w:val="00A043A9"/>
    <w:rsid w:val="00A626F8"/>
    <w:rsid w:val="00A63717"/>
    <w:rsid w:val="00AA49F3"/>
    <w:rsid w:val="00AB023D"/>
    <w:rsid w:val="00AB126B"/>
    <w:rsid w:val="00AC381E"/>
    <w:rsid w:val="00AE4797"/>
    <w:rsid w:val="00AE5BD5"/>
    <w:rsid w:val="00B120CA"/>
    <w:rsid w:val="00B62245"/>
    <w:rsid w:val="00B8686D"/>
    <w:rsid w:val="00B951FF"/>
    <w:rsid w:val="00BC7B0C"/>
    <w:rsid w:val="00BF2070"/>
    <w:rsid w:val="00BF3534"/>
    <w:rsid w:val="00C3709F"/>
    <w:rsid w:val="00C41CE1"/>
    <w:rsid w:val="00C7250F"/>
    <w:rsid w:val="00C872FA"/>
    <w:rsid w:val="00C901A6"/>
    <w:rsid w:val="00CE0823"/>
    <w:rsid w:val="00CF2F92"/>
    <w:rsid w:val="00CF52FE"/>
    <w:rsid w:val="00D1242B"/>
    <w:rsid w:val="00D15396"/>
    <w:rsid w:val="00D23B79"/>
    <w:rsid w:val="00D33AF9"/>
    <w:rsid w:val="00D363F7"/>
    <w:rsid w:val="00D5296C"/>
    <w:rsid w:val="00D72985"/>
    <w:rsid w:val="00D7508B"/>
    <w:rsid w:val="00DB7D4E"/>
    <w:rsid w:val="00DD7431"/>
    <w:rsid w:val="00DF6F7E"/>
    <w:rsid w:val="00E34F08"/>
    <w:rsid w:val="00E61AB8"/>
    <w:rsid w:val="00E706DA"/>
    <w:rsid w:val="00E83E93"/>
    <w:rsid w:val="00E90EB5"/>
    <w:rsid w:val="00E94FBF"/>
    <w:rsid w:val="00EF0C2D"/>
    <w:rsid w:val="00F45161"/>
    <w:rsid w:val="00F46E78"/>
    <w:rsid w:val="00F5642A"/>
    <w:rsid w:val="00F747F8"/>
    <w:rsid w:val="00F857BC"/>
    <w:rsid w:val="00FC5012"/>
    <w:rsid w:val="00FE6326"/>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166140"/>
    <w:pPr>
      <w:tabs>
        <w:tab w:val="left" w:pos="440"/>
        <w:tab w:val="right" w:leader="dot" w:pos="8828"/>
      </w:tabs>
      <w:spacing w:after="100" w:line="48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666277299">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97077-97E1-4730-986F-F67A3F146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3140</Words>
  <Characters>17275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marianna .A.</cp:lastModifiedBy>
  <cp:revision>7</cp:revision>
  <cp:lastPrinted>2019-01-11T21:51:00Z</cp:lastPrinted>
  <dcterms:created xsi:type="dcterms:W3CDTF">2019-01-11T19:12:00Z</dcterms:created>
  <dcterms:modified xsi:type="dcterms:W3CDTF">2019-01-11T21:51:00Z</dcterms:modified>
</cp:coreProperties>
</file>